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56" w:beforeLines="50" w:after="156" w:afterLines="50" w:line="240" w:lineRule="auto"/>
        <w:rPr>
          <w:color w:val="000000" w:themeColor="text1"/>
          <w14:textFill>
            <w14:solidFill>
              <w14:schemeClr w14:val="tx1"/>
            </w14:solidFill>
          </w14:textFill>
        </w:rPr>
      </w:pPr>
      <w:bookmarkStart w:id="0" w:name="_Toc148650347"/>
      <w:r>
        <w:rPr>
          <w:rFonts w:hint="eastAsia" w:ascii="宋体" w:hAnsi="宋体"/>
          <w:color w:val="000000" w:themeColor="text1"/>
          <w:sz w:val="24"/>
          <w:szCs w:val="24"/>
          <w14:textFill>
            <w14:solidFill>
              <w14:schemeClr w14:val="tx1"/>
            </w14:solidFill>
          </w14:textFill>
        </w:rPr>
        <w:t>附件</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：资格审查条件</w:t>
      </w:r>
      <w:bookmarkEnd w:id="0"/>
    </w:p>
    <w:p>
      <w:pPr>
        <w:jc w:val="center"/>
        <w:rPr>
          <w:color w:val="000000" w:themeColor="text1"/>
          <w14:textFill>
            <w14:solidFill>
              <w14:schemeClr w14:val="tx1"/>
            </w14:solidFill>
          </w14:textFill>
        </w:rPr>
      </w:pPr>
    </w:p>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附录1  资格审查条件（资质最低要求）</w:t>
      </w:r>
    </w:p>
    <w:p>
      <w:pPr>
        <w:jc w:val="center"/>
        <w:rPr>
          <w:rFonts w:ascii="宋体" w:hAnsi="宋体"/>
          <w:b/>
          <w:color w:val="000000" w:themeColor="text1"/>
          <w:sz w:val="24"/>
          <w:szCs w:val="24"/>
          <w14:textFill>
            <w14:solidFill>
              <w14:schemeClr w14:val="tx1"/>
            </w14:solidFill>
          </w14:textFill>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86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42" w:type="dxa"/>
            <w:vAlign w:val="center"/>
          </w:tcPr>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具有独立法人资格，具有有效的企业营业执照或事业单位法人证书。</w:t>
            </w:r>
          </w:p>
        </w:tc>
      </w:tr>
    </w:tbl>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附录2  资格审查条件（业绩最低要求）</w:t>
      </w:r>
    </w:p>
    <w:p>
      <w:pPr>
        <w:jc w:val="center"/>
        <w:rPr>
          <w:rFonts w:ascii="宋体" w:hAnsi="宋体"/>
          <w:b/>
          <w:color w:val="000000" w:themeColor="text1"/>
          <w:sz w:val="24"/>
          <w:szCs w:val="24"/>
          <w14:textFill>
            <w14:solidFill>
              <w14:schemeClr w14:val="tx1"/>
            </w14:solidFill>
          </w14:textFill>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642" w:type="dxa"/>
            <w:vAlign w:val="center"/>
          </w:tcPr>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近5年（2018年11月1日至投标截止时间，以通过成果验收或鉴定时间或登记时间为准）至少完成过1项交通运输行业的机电类或信息化类科研项目。</w:t>
            </w:r>
          </w:p>
        </w:tc>
      </w:tr>
    </w:tbl>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附录3  资格审查条件（信誉最低要求）</w:t>
      </w:r>
    </w:p>
    <w:p>
      <w:pPr>
        <w:jc w:val="center"/>
        <w:rPr>
          <w:rFonts w:ascii="宋体" w:hAnsi="宋体"/>
          <w:b/>
          <w:color w:val="000000" w:themeColor="text1"/>
          <w:sz w:val="24"/>
          <w:szCs w:val="24"/>
          <w14:textFill>
            <w14:solidFill>
              <w14:schemeClr w14:val="tx1"/>
            </w14:solidFill>
          </w14:textFill>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86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投标人在过去1年中（2022年11月1日至投标截止时间）不曾在高速公路科研项目合同中违约而被驱逐或因投标人自身的原因而使高速公路科研项目合同被解除。</w:t>
            </w:r>
          </w:p>
        </w:tc>
      </w:tr>
    </w:tbl>
    <w:p>
      <w:pPr>
        <w:rPr>
          <w:rFonts w:ascii="宋体" w:hAnsi="宋体"/>
          <w:color w:val="000000" w:themeColor="text1"/>
          <w:sz w:val="24"/>
          <w:szCs w:val="24"/>
          <w14:textFill>
            <w14:solidFill>
              <w14:schemeClr w14:val="tx1"/>
            </w14:solidFill>
          </w14:textFill>
        </w:rPr>
      </w:pPr>
    </w:p>
    <w:p>
      <w:pPr>
        <w:jc w:val="center"/>
        <w:rPr>
          <w:rFonts w:ascii="宋体" w:hAnsi="宋体"/>
          <w:b/>
          <w:color w:val="000000" w:themeColor="text1"/>
          <w:sz w:val="24"/>
          <w:szCs w:val="24"/>
          <w14:textFill>
            <w14:solidFill>
              <w14:schemeClr w14:val="tx1"/>
            </w14:solidFill>
          </w14:textFill>
        </w:rPr>
      </w:pPr>
    </w:p>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附录4  资格审查条件（项目负责人最低要求）</w:t>
      </w:r>
    </w:p>
    <w:p>
      <w:pPr>
        <w:jc w:val="center"/>
        <w:rPr>
          <w:rFonts w:ascii="宋体" w:hAnsi="宋体"/>
          <w:b/>
          <w:color w:val="000000" w:themeColor="text1"/>
          <w:sz w:val="24"/>
          <w:szCs w:val="24"/>
          <w14:textFill>
            <w14:solidFill>
              <w14:schemeClr w14:val="tx1"/>
            </w14:solidFill>
          </w14:textFill>
        </w:rPr>
      </w:pPr>
    </w:p>
    <w:tbl>
      <w:tblPr>
        <w:tblStyle w:val="4"/>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人员</w:t>
            </w:r>
          </w:p>
        </w:tc>
        <w:tc>
          <w:tcPr>
            <w:tcW w:w="99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637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30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项目负责人</w:t>
            </w:r>
          </w:p>
        </w:tc>
        <w:tc>
          <w:tcPr>
            <w:tcW w:w="99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6379" w:type="dxa"/>
            <w:vAlign w:val="center"/>
          </w:tcPr>
          <w:p>
            <w:pPr>
              <w:snapToGrid w:val="0"/>
              <w:spacing w:line="36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高级职称；</w:t>
            </w:r>
          </w:p>
          <w:p>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近5年（2018年11月1日至投标截止时间，以通过成果验收或鉴定时间或登记时间为准）至少</w:t>
            </w:r>
            <w:r>
              <w:rPr>
                <w:rFonts w:hint="eastAsia" w:ascii="宋体" w:hAnsi="宋体"/>
                <w:color w:val="000000" w:themeColor="text1"/>
                <w:kern w:val="0"/>
                <w:szCs w:val="21"/>
                <w14:textFill>
                  <w14:solidFill>
                    <w14:schemeClr w14:val="tx1"/>
                  </w14:solidFill>
                </w14:textFill>
              </w:rPr>
              <w:t>担任过</w:t>
            </w:r>
            <w:r>
              <w:rPr>
                <w:rFonts w:hint="eastAsia" w:ascii="宋体" w:hAnsi="宋体"/>
                <w:color w:val="000000" w:themeColor="text1"/>
                <w:szCs w:val="21"/>
                <w14:textFill>
                  <w14:solidFill>
                    <w14:schemeClr w14:val="tx1"/>
                  </w14:solidFill>
                </w14:textFill>
              </w:rPr>
              <w:t>1项交通运输行业的机电类或信息化类科研项目</w:t>
            </w:r>
            <w:r>
              <w:rPr>
                <w:rFonts w:hint="eastAsia" w:ascii="宋体" w:hAnsi="宋体"/>
                <w:color w:val="000000" w:themeColor="text1"/>
                <w:kern w:val="0"/>
                <w:szCs w:val="21"/>
                <w14:textFill>
                  <w14:solidFill>
                    <w14:schemeClr w14:val="tx1"/>
                  </w14:solidFill>
                </w14:textFill>
              </w:rPr>
              <w:t>的项目负责人。</w:t>
            </w:r>
          </w:p>
        </w:tc>
      </w:tr>
    </w:tbl>
    <w:p>
      <w:pPr>
        <w:rPr>
          <w:rFonts w:ascii="宋体" w:hAnsi="宋体"/>
          <w:color w:val="000000" w:themeColor="text1"/>
          <w:sz w:val="24"/>
          <w:szCs w:val="24"/>
          <w14:textFill>
            <w14:solidFill>
              <w14:schemeClr w14:val="tx1"/>
            </w14:solidFill>
          </w14:textFill>
        </w:rPr>
      </w:pPr>
    </w:p>
    <w:p>
      <w:pPr>
        <w:pStyle w:val="2"/>
        <w:snapToGrid w:val="0"/>
        <w:spacing w:before="156" w:beforeLines="50" w:after="156" w:afterLines="50" w:line="240" w:lineRule="auto"/>
        <w:rPr>
          <w:rFonts w:ascii="宋体" w:hAnsi="宋体"/>
          <w:color w:val="000000" w:themeColor="text1"/>
          <w:sz w:val="24"/>
          <w:szCs w:val="24"/>
          <w14:textFill>
            <w14:solidFill>
              <w14:schemeClr w14:val="tx1"/>
            </w14:solidFill>
          </w14:textFill>
        </w:rPr>
      </w:pPr>
      <w:r>
        <w:rPr>
          <w:rFonts w:ascii="黑体" w:eastAsia="黑体"/>
          <w:color w:val="000000" w:themeColor="text1"/>
          <w:spacing w:val="-8"/>
          <w:sz w:val="24"/>
          <w:szCs w:val="24"/>
          <w14:textFill>
            <w14:solidFill>
              <w14:schemeClr w14:val="tx1"/>
            </w14:solidFill>
          </w14:textFill>
        </w:rPr>
        <w:br w:type="page"/>
      </w:r>
      <w:bookmarkStart w:id="1" w:name="_Toc148650348"/>
      <w:r>
        <w:rPr>
          <w:rFonts w:hint="eastAsia" w:ascii="宋体" w:hAnsi="宋体"/>
          <w:color w:val="000000" w:themeColor="text1"/>
          <w:sz w:val="24"/>
          <w:szCs w:val="24"/>
          <w14:textFill>
            <w14:solidFill>
              <w14:schemeClr w14:val="tx1"/>
            </w14:solidFill>
          </w14:textFill>
        </w:rPr>
        <w:t>附件</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：评标办法</w:t>
      </w:r>
      <w:bookmarkEnd w:id="1"/>
    </w:p>
    <w:p>
      <w:pPr>
        <w:pStyle w:val="2"/>
        <w:snapToGrid w:val="0"/>
        <w:spacing w:before="120" w:after="120" w:line="240" w:lineRule="auto"/>
        <w:rPr>
          <w:color w:val="000000" w:themeColor="text1"/>
          <w:sz w:val="24"/>
          <w:szCs w:val="24"/>
          <w14:textFill>
            <w14:solidFill>
              <w14:schemeClr w14:val="tx1"/>
            </w14:solidFill>
          </w14:textFill>
        </w:rPr>
      </w:pPr>
      <w:bookmarkStart w:id="2" w:name="_Toc138793770"/>
      <w:bookmarkStart w:id="3" w:name="_Toc66337244"/>
      <w:bookmarkStart w:id="4" w:name="_Toc144559653"/>
      <w:bookmarkStart w:id="5" w:name="_Toc65820978"/>
      <w:bookmarkStart w:id="6" w:name="_Toc148650349"/>
      <w:bookmarkStart w:id="7" w:name="_Toc66984522"/>
      <w:bookmarkStart w:id="8" w:name="_Toc65857110"/>
      <w:r>
        <w:rPr>
          <w:rFonts w:hint="eastAsia"/>
          <w:color w:val="000000" w:themeColor="text1"/>
          <w:sz w:val="24"/>
          <w:szCs w:val="24"/>
          <w14:textFill>
            <w14:solidFill>
              <w14:schemeClr w14:val="tx1"/>
            </w14:solidFill>
          </w14:textFill>
        </w:rPr>
        <w:t>评标办法前附表</w:t>
      </w:r>
      <w:bookmarkEnd w:id="2"/>
      <w:bookmarkEnd w:id="3"/>
      <w:bookmarkEnd w:id="4"/>
      <w:bookmarkEnd w:id="5"/>
      <w:bookmarkEnd w:id="6"/>
      <w:bookmarkEnd w:id="7"/>
      <w:bookmarkEnd w:id="8"/>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1"/>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8" w:type="dxa"/>
            <w:gridSpan w:val="2"/>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条款号</w:t>
            </w:r>
          </w:p>
        </w:tc>
        <w:tc>
          <w:tcPr>
            <w:tcW w:w="7648"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81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1141"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评标方法</w:t>
            </w:r>
          </w:p>
        </w:tc>
        <w:tc>
          <w:tcPr>
            <w:tcW w:w="7648" w:type="dxa"/>
            <w:vAlign w:val="center"/>
          </w:tcPr>
          <w:p>
            <w:pPr>
              <w:ind w:firstLine="315" w:firstLineChars="1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（1）评标价低的投标人优先；</w:t>
            </w:r>
          </w:p>
          <w:p>
            <w:pPr>
              <w:ind w:firstLine="315" w:firstLineChars="1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（2）服务建议书得分较高的投标人优先；</w:t>
            </w:r>
          </w:p>
          <w:p>
            <w:pPr>
              <w:ind w:firstLine="315" w:firstLineChars="1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17"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2.1.1</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2.1.3</w:t>
            </w:r>
          </w:p>
        </w:tc>
        <w:tc>
          <w:tcPr>
            <w:tcW w:w="1141"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形式评审与响应性评审标准</w:t>
            </w:r>
          </w:p>
        </w:tc>
        <w:tc>
          <w:tcPr>
            <w:tcW w:w="7648" w:type="dxa"/>
          </w:tcPr>
          <w:p>
            <w:pPr>
              <w:tabs>
                <w:tab w:val="left" w:pos="3060"/>
              </w:tabs>
              <w:spacing w:line="32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第一个信封（商务及技术文件）评审标准：</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（1）投标文件按照招标文件规定的格式、内容填写，字迹清晰可辨：</w:t>
            </w:r>
          </w:p>
          <w:p>
            <w:pPr>
              <w:tabs>
                <w:tab w:val="left" w:pos="3060"/>
              </w:tabs>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a．投标函按招标文件规定填报了招标人名称、项目名称、补遗书编号（如有）、项目负责人相关信息、服务期限、服务地点、质量要求等内容；</w:t>
            </w:r>
          </w:p>
          <w:p>
            <w:pPr>
              <w:tabs>
                <w:tab w:val="left" w:pos="3060"/>
              </w:tabs>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b．投标文件组成齐全完整，内容均按规定填写。</w:t>
            </w:r>
          </w:p>
          <w:p>
            <w:pPr>
              <w:tabs>
                <w:tab w:val="left" w:pos="3060"/>
              </w:tabs>
              <w:spacing w:line="320" w:lineRule="exact"/>
              <w:ind w:firstLine="210" w:firstLineChars="1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）投标文件上法定代表人或其授权代理人的签字、投标人的单位章盖章齐全，符合招标文件规定。</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）投标人按照招标文件的规定提供了投标保证金。</w:t>
            </w:r>
          </w:p>
          <w:p>
            <w:pPr>
              <w:tabs>
                <w:tab w:val="left" w:pos="3060"/>
              </w:tabs>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a．投标保证金金额符合招标文件规定的金额，且投标保证金有效期不少于投标有效期；</w:t>
            </w:r>
          </w:p>
          <w:p>
            <w:pPr>
              <w:tabs>
                <w:tab w:val="left" w:pos="3060"/>
              </w:tabs>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b.若投标保证金采电汇或转账形式提交，投标人应在递交投标文件截止时间之前，将投标保证金由投标人的基本账户转入招标人指定账户；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c.若投标保证金采用保函形式提交，开具的保函满足招标文件要求。</w:t>
            </w:r>
          </w:p>
          <w:p>
            <w:pPr>
              <w:tabs>
                <w:tab w:val="left" w:pos="3060"/>
              </w:tabs>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d.若投标保证金采用保证保险形式提交，开具的保证保险满足招标文件要求。</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）投标人法定代表人授权委托代理人签署投标文件的，须提交授权委托书，且符合招标文件规定。</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）投标人法定代表人亲自签署投标文件的，提供了法定代表人身份证明，且符合招标文件规定。</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）投标人未以联合体形式投标。</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投标人未对本项目提出分包计划</w:t>
            </w:r>
            <w:r>
              <w:rPr>
                <w:rFonts w:hint="eastAsia" w:ascii="宋体" w:hAnsi="宋体"/>
                <w:color w:val="000000" w:themeColor="text1"/>
                <w:szCs w:val="21"/>
                <w14:textFill>
                  <w14:solidFill>
                    <w14:schemeClr w14:val="tx1"/>
                  </w14:solidFill>
                </w14:textFill>
              </w:rPr>
              <w:t>。</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）投标人未提交两个以上不同的投标文件或备选方案。</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）投标文件中未出现有关投标报价的内容。</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）投标文件载明的招标项目完成期限未超过招标文件规定的时限。</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）投标文件对招标文件的实质性要求和条件作出响应。</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）权利义务符合招标文件规定：</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a.投标人应接受招标文件规定的风险划分原则，未提出新的风险划分办法；</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b.投标人未增加委托人的责任范围，或减少投标人义务；</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c.投标人未提出不同的支付办法；</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d.投标人对合同纠纷、事故处理办法未提出异议；</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e.投标人在投标活动中无欺诈行为；</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f.投标人未对合同条款有重要保留。</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p>
          <w:p>
            <w:pPr>
              <w:tabs>
                <w:tab w:val="left" w:pos="3060"/>
              </w:tabs>
              <w:spacing w:line="32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第二个信封（报价文件）评审标准：</w:t>
            </w:r>
          </w:p>
          <w:p>
            <w:pPr>
              <w:tabs>
                <w:tab w:val="left" w:pos="3060"/>
              </w:tabs>
              <w:spacing w:line="32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（1）投标文件按照招标文件规定的格式、内容填写，字迹清晰可辨，内容齐全完整：</w:t>
            </w:r>
          </w:p>
          <w:p>
            <w:pPr>
              <w:tabs>
                <w:tab w:val="left" w:pos="3060"/>
              </w:tabs>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a．投标函按招标文件规定填报了招标人名称、项目名称、补遗书编号（如有）、投标价（包括大写金额和小写金额）；</w:t>
            </w:r>
          </w:p>
          <w:p>
            <w:pPr>
              <w:tabs>
                <w:tab w:val="left" w:pos="3060"/>
              </w:tabs>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b．已标价报价清单说明（如有）文字与招标文件规定一致，未进行实质性修改和删减；</w:t>
            </w:r>
          </w:p>
          <w:p>
            <w:pPr>
              <w:tabs>
                <w:tab w:val="left" w:pos="3060"/>
              </w:tabs>
              <w:spacing w:line="32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投标文件组成齐全完整，内容均按规定填写。</w:t>
            </w:r>
          </w:p>
          <w:p>
            <w:pPr>
              <w:tabs>
                <w:tab w:val="left" w:pos="3060"/>
              </w:tabs>
              <w:spacing w:line="320" w:lineRule="exact"/>
              <w:ind w:firstLine="205" w:firstLineChars="98"/>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3</w:t>
            </w:r>
            <w:r>
              <w:rPr>
                <w:rFonts w:hint="eastAsia" w:ascii="宋体" w:hAnsi="宋体"/>
                <w:bCs/>
                <w:color w:val="000000" w:themeColor="text1"/>
                <w:szCs w:val="21"/>
                <w14:textFill>
                  <w14:solidFill>
                    <w14:schemeClr w14:val="tx1"/>
                  </w14:solidFill>
                </w14:textFill>
              </w:rPr>
              <w:t>）投标报价未超过招标文件设定的最高投标限价。</w:t>
            </w:r>
          </w:p>
          <w:p>
            <w:pPr>
              <w:tabs>
                <w:tab w:val="left" w:pos="3060"/>
              </w:tabs>
              <w:spacing w:line="320" w:lineRule="exact"/>
              <w:ind w:firstLine="205" w:firstLineChars="98"/>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）投标报价大写金额能够确定具体数值。</w:t>
            </w:r>
          </w:p>
          <w:p>
            <w:pPr>
              <w:tabs>
                <w:tab w:val="left" w:pos="3060"/>
              </w:tabs>
              <w:spacing w:line="320" w:lineRule="exact"/>
              <w:ind w:firstLine="205" w:firstLineChars="98"/>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5</w:t>
            </w:r>
            <w:r>
              <w:rPr>
                <w:rFonts w:hint="eastAsia" w:ascii="宋体" w:hAnsi="宋体"/>
                <w:bCs/>
                <w:color w:val="000000" w:themeColor="text1"/>
                <w:szCs w:val="21"/>
                <w14:textFill>
                  <w14:solidFill>
                    <w14:schemeClr w14:val="tx1"/>
                  </w14:solidFill>
                </w14:textFill>
              </w:rPr>
              <w:t>）投标人未提交两个以上不同的投标报价。</w:t>
            </w:r>
          </w:p>
          <w:p>
            <w:pPr>
              <w:tabs>
                <w:tab w:val="left" w:pos="3060"/>
              </w:tabs>
              <w:spacing w:line="320" w:lineRule="exact"/>
              <w:ind w:firstLine="205" w:firstLineChars="98"/>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（6）投标人未提交调价函。</w:t>
            </w:r>
          </w:p>
          <w:p>
            <w:pPr>
              <w:tabs>
                <w:tab w:val="left" w:pos="3060"/>
              </w:tabs>
              <w:spacing w:line="320" w:lineRule="exact"/>
              <w:ind w:firstLine="205" w:firstLineChars="98"/>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（7）已标价报价清单中的“合计”金额和投标函大写金额报价一致。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817"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2.1.2</w:t>
            </w:r>
          </w:p>
        </w:tc>
        <w:tc>
          <w:tcPr>
            <w:tcW w:w="1141"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资格评审标准</w:t>
            </w:r>
          </w:p>
        </w:tc>
        <w:tc>
          <w:tcPr>
            <w:tcW w:w="7648" w:type="dxa"/>
            <w:vAlign w:val="center"/>
          </w:tcPr>
          <w:p>
            <w:pPr>
              <w:tabs>
                <w:tab w:val="left" w:pos="3060"/>
              </w:tabs>
              <w:spacing w:line="360" w:lineRule="exact"/>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（1）投标人具备有效的营业执照</w:t>
            </w:r>
            <w:r>
              <w:rPr>
                <w:rFonts w:hint="eastAsia" w:ascii="宋体" w:hAnsi="宋体"/>
                <w:bCs/>
                <w:color w:val="000000" w:themeColor="text1"/>
                <w14:textFill>
                  <w14:solidFill>
                    <w14:schemeClr w14:val="tx1"/>
                  </w14:solidFill>
                </w14:textFill>
              </w:rPr>
              <w:t>（或事业单位法人证书）、</w:t>
            </w:r>
            <w:r>
              <w:rPr>
                <w:rFonts w:hint="eastAsia" w:ascii="宋体" w:hAnsi="宋体"/>
                <w:color w:val="000000" w:themeColor="text1"/>
                <w:szCs w:val="21"/>
                <w14:textFill>
                  <w14:solidFill>
                    <w14:schemeClr w14:val="tx1"/>
                  </w14:solidFill>
                </w14:textFill>
              </w:rPr>
              <w:t>基本账户开户许可证（或基本存款账户信息）；</w:t>
            </w:r>
          </w:p>
          <w:p>
            <w:pPr>
              <w:tabs>
                <w:tab w:val="left" w:pos="3060"/>
              </w:tabs>
              <w:spacing w:line="360" w:lineRule="exact"/>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（2）投标人的类似项目业绩符合招标文件规定；</w:t>
            </w:r>
          </w:p>
          <w:p>
            <w:pPr>
              <w:tabs>
                <w:tab w:val="left" w:pos="3060"/>
              </w:tabs>
              <w:spacing w:line="360" w:lineRule="exact"/>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）投标人的信誉符合招标文件规定；</w:t>
            </w:r>
          </w:p>
          <w:p>
            <w:pPr>
              <w:tabs>
                <w:tab w:val="left" w:pos="3060"/>
              </w:tabs>
              <w:spacing w:line="360" w:lineRule="exact"/>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 xml:space="preserve">）投标人的项目负责人资格符合招标文件规定； </w:t>
            </w:r>
          </w:p>
          <w:p>
            <w:pPr>
              <w:tabs>
                <w:tab w:val="left" w:pos="3060"/>
              </w:tabs>
              <w:spacing w:line="360" w:lineRule="exact"/>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2.2.1</w:t>
            </w:r>
          </w:p>
        </w:tc>
        <w:tc>
          <w:tcPr>
            <w:tcW w:w="1141"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分值构成（总分100分）</w:t>
            </w:r>
          </w:p>
        </w:tc>
        <w:tc>
          <w:tcPr>
            <w:tcW w:w="7648" w:type="dxa"/>
            <w:vAlign w:val="center"/>
          </w:tcPr>
          <w:p>
            <w:pPr>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第一个信封（商务及技术文件）评分分值构成：</w:t>
            </w:r>
          </w:p>
          <w:p>
            <w:pPr>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服务建议书：</w:t>
            </w:r>
            <w:r>
              <w:rPr>
                <w:rFonts w:hint="eastAsia" w:ascii="宋体" w:hAnsi="宋体"/>
                <w:b/>
                <w:color w:val="000000" w:themeColor="text1"/>
                <w:u w:val="single"/>
                <w14:textFill>
                  <w14:solidFill>
                    <w14:schemeClr w14:val="tx1"/>
                  </w14:solidFill>
                </w14:textFill>
              </w:rPr>
              <w:t>45</w:t>
            </w:r>
            <w:r>
              <w:rPr>
                <w:rFonts w:hint="eastAsia" w:ascii="宋体" w:hAnsi="宋体"/>
                <w:b/>
                <w:color w:val="000000" w:themeColor="text1"/>
                <w14:textFill>
                  <w14:solidFill>
                    <w14:schemeClr w14:val="tx1"/>
                  </w14:solidFill>
                </w14:textFill>
              </w:rPr>
              <w:t>分</w:t>
            </w:r>
          </w:p>
          <w:p>
            <w:pPr>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主要人员：</w:t>
            </w:r>
            <w:r>
              <w:rPr>
                <w:rFonts w:ascii="宋体" w:hAnsi="宋体"/>
                <w:b/>
                <w:color w:val="000000" w:themeColor="text1"/>
                <w:u w:val="single"/>
                <w14:textFill>
                  <w14:solidFill>
                    <w14:schemeClr w14:val="tx1"/>
                  </w14:solidFill>
                </w14:textFill>
              </w:rPr>
              <w:t>20</w:t>
            </w:r>
            <w:r>
              <w:rPr>
                <w:rFonts w:hint="eastAsia" w:ascii="宋体" w:hAnsi="宋体"/>
                <w:b/>
                <w:color w:val="000000" w:themeColor="text1"/>
                <w14:textFill>
                  <w14:solidFill>
                    <w14:schemeClr w14:val="tx1"/>
                  </w14:solidFill>
                </w14:textFill>
              </w:rPr>
              <w:t>分</w:t>
            </w:r>
          </w:p>
          <w:p>
            <w:pPr>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其他因素：</w:t>
            </w:r>
            <w:r>
              <w:rPr>
                <w:rFonts w:hint="eastAsia" w:ascii="宋体" w:hAnsi="宋体"/>
                <w:b/>
                <w:color w:val="000000" w:themeColor="text1"/>
                <w:u w:val="single"/>
                <w14:textFill>
                  <w14:solidFill>
                    <w14:schemeClr w14:val="tx1"/>
                  </w14:solidFill>
                </w14:textFill>
              </w:rPr>
              <w:t>2</w:t>
            </w:r>
            <w:r>
              <w:rPr>
                <w:rFonts w:ascii="宋体" w:hAnsi="宋体"/>
                <w:b/>
                <w:color w:val="000000" w:themeColor="text1"/>
                <w:u w:val="single"/>
                <w14:textFill>
                  <w14:solidFill>
                    <w14:schemeClr w14:val="tx1"/>
                  </w14:solidFill>
                </w14:textFill>
              </w:rPr>
              <w:t>5</w:t>
            </w:r>
            <w:r>
              <w:rPr>
                <w:rFonts w:hint="eastAsia" w:ascii="宋体" w:hAnsi="宋体"/>
                <w:b/>
                <w:color w:val="000000" w:themeColor="text1"/>
                <w14:textFill>
                  <w14:solidFill>
                    <w14:schemeClr w14:val="tx1"/>
                  </w14:solidFill>
                </w14:textFill>
              </w:rPr>
              <w:t>分</w:t>
            </w:r>
          </w:p>
          <w:p>
            <w:pPr>
              <w:jc w:val="left"/>
              <w:rPr>
                <w:rFonts w:ascii="宋体" w:hAnsi="宋体"/>
                <w:b/>
                <w:color w:val="000000" w:themeColor="text1"/>
                <w14:textFill>
                  <w14:solidFill>
                    <w14:schemeClr w14:val="tx1"/>
                  </w14:solidFill>
                </w14:textFill>
              </w:rPr>
            </w:pPr>
          </w:p>
          <w:p>
            <w:pPr>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第二个信封（报价文件）评分分值构成：</w:t>
            </w:r>
          </w:p>
          <w:p>
            <w:pPr>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评标价：</w:t>
            </w:r>
            <w:r>
              <w:rPr>
                <w:rFonts w:hint="eastAsia" w:ascii="宋体" w:hAnsi="宋体"/>
                <w:b/>
                <w:color w:val="000000" w:themeColor="text1"/>
                <w:u w:val="single"/>
                <w14:textFill>
                  <w14:solidFill>
                    <w14:schemeClr w14:val="tx1"/>
                  </w14:solidFill>
                </w14:textFill>
              </w:rPr>
              <w:t>1</w:t>
            </w:r>
            <w:r>
              <w:rPr>
                <w:rFonts w:ascii="宋体" w:hAnsi="宋体"/>
                <w:b/>
                <w:color w:val="000000" w:themeColor="text1"/>
                <w:u w:val="single"/>
                <w14:textFill>
                  <w14:solidFill>
                    <w14:schemeClr w14:val="tx1"/>
                  </w14:solidFill>
                </w14:textFill>
              </w:rPr>
              <w:t>0</w:t>
            </w:r>
            <w:r>
              <w:rPr>
                <w:rFonts w:hint="eastAsia" w:ascii="宋体" w:hAnsi="宋体"/>
                <w:b/>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2.2.2</w:t>
            </w:r>
          </w:p>
        </w:tc>
        <w:tc>
          <w:tcPr>
            <w:tcW w:w="1141"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评标基准价计算方法</w:t>
            </w:r>
          </w:p>
        </w:tc>
        <w:tc>
          <w:tcPr>
            <w:tcW w:w="7648" w:type="dxa"/>
            <w:vAlign w:val="center"/>
          </w:tcPr>
          <w:p>
            <w:pPr>
              <w:snapToGrid w:val="0"/>
              <w:spacing w:line="320" w:lineRule="exact"/>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评标基准价的计算：</w:t>
            </w:r>
          </w:p>
          <w:p>
            <w:pPr>
              <w:snapToGrid w:val="0"/>
              <w:spacing w:line="320" w:lineRule="exact"/>
              <w:ind w:right="11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在开标现场，招标人将当场计算并宣布评标基准价。</w:t>
            </w:r>
          </w:p>
          <w:p>
            <w:pPr>
              <w:snapToGrid w:val="0"/>
              <w:spacing w:line="320" w:lineRule="exact"/>
              <w:ind w:left="113" w:right="113"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（1）评标价的确定：</w:t>
            </w:r>
          </w:p>
          <w:p>
            <w:pPr>
              <w:snapToGrid w:val="0"/>
              <w:spacing w:line="320" w:lineRule="exact"/>
              <w:ind w:left="113" w:right="113"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评标价=投标函文字报价</w:t>
            </w:r>
          </w:p>
          <w:p>
            <w:pPr>
              <w:snapToGrid w:val="0"/>
              <w:spacing w:line="320" w:lineRule="exact"/>
              <w:ind w:left="113" w:right="113"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（2）评标价平均值的计算：</w:t>
            </w:r>
          </w:p>
          <w:p>
            <w:pPr>
              <w:snapToGrid w:val="0"/>
              <w:spacing w:line="320" w:lineRule="exact"/>
              <w:ind w:right="113" w:firstLine="426" w:firstLineChars="20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（3）评标基准价的确定：</w:t>
            </w:r>
          </w:p>
          <w:p>
            <w:pPr>
              <w:snapToGrid w:val="0"/>
              <w:spacing w:line="320" w:lineRule="exact"/>
              <w:ind w:right="113" w:firstLine="426" w:firstLineChars="20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2.2.3</w:t>
            </w:r>
          </w:p>
        </w:tc>
        <w:tc>
          <w:tcPr>
            <w:tcW w:w="1141"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评标价的偏差率计算公式</w:t>
            </w:r>
          </w:p>
        </w:tc>
        <w:tc>
          <w:tcPr>
            <w:tcW w:w="7648" w:type="dxa"/>
            <w:vAlign w:val="center"/>
          </w:tcPr>
          <w:p>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.6.1</w:t>
            </w:r>
          </w:p>
        </w:tc>
        <w:tc>
          <w:tcPr>
            <w:tcW w:w="1141" w:type="dxa"/>
            <w:vAlign w:val="center"/>
          </w:tcPr>
          <w:p>
            <w:pPr>
              <w:adjustRightInd w:val="0"/>
              <w:snapToGrid w:val="0"/>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信息查询</w:t>
            </w:r>
          </w:p>
        </w:tc>
        <w:tc>
          <w:tcPr>
            <w:tcW w:w="7648" w:type="dxa"/>
            <w:vAlign w:val="center"/>
          </w:tcPr>
          <w:p>
            <w:pPr>
              <w:autoSpaceDE w:val="0"/>
              <w:autoSpaceDN w:val="0"/>
              <w:spacing w:line="273"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本款修改为：</w:t>
            </w:r>
          </w:p>
          <w:p>
            <w:pPr>
              <w:autoSpaceDE w:val="0"/>
              <w:autoSpaceDN w:val="0"/>
              <w:spacing w:line="273"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信用情况网页截图内容与在“国家企业信用信息公示系统”中严重违法失信企业名单（不包括分公司，事业单位投标人不适用）或在“信用中国”网站中失信被执行人名单、经营异常名录、重大税收违法失信主体名单、政府采购严重违法失信名单（均不包括分公司）的复核结果一致。如投标人未提供相关网页截图或所附截图与复核结果不一致，评标委员会应否决其投标。</w:t>
            </w:r>
          </w:p>
          <w:p>
            <w:pPr>
              <w:autoSpaceDE w:val="0"/>
              <w:autoSpaceDN w:val="0"/>
              <w:spacing w:line="273"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606" w:type="dxa"/>
            <w:gridSpan w:val="3"/>
            <w:vAlign w:val="center"/>
          </w:tcPr>
          <w:p>
            <w:pPr>
              <w:spacing w:line="340" w:lineRule="exact"/>
              <w:ind w:right="113"/>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需要补充的其他内容：</w:t>
            </w:r>
            <w:r>
              <w:rPr>
                <w:rFonts w:hint="eastAsia" w:ascii="宋体" w:hAnsi="宋体"/>
                <w:bCs/>
                <w:color w:val="000000" w:themeColor="text1"/>
                <w:szCs w:val="21"/>
                <w14:textFill>
                  <w14:solidFill>
                    <w14:schemeClr w14:val="tx1"/>
                  </w14:solidFill>
                </w14:textFill>
              </w:rPr>
              <w:t>无</w:t>
            </w:r>
          </w:p>
        </w:tc>
      </w:tr>
    </w:tbl>
    <w:p>
      <w:pPr>
        <w:rPr>
          <w:color w:val="000000" w:themeColor="text1"/>
          <w14:textFill>
            <w14:solidFill>
              <w14:schemeClr w14:val="tx1"/>
            </w14:solidFill>
          </w14:textFill>
        </w:rPr>
      </w:pPr>
    </w:p>
    <w:p>
      <w:pPr>
        <w:jc w:val="right"/>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续上表</w:t>
      </w:r>
    </w:p>
    <w:tbl>
      <w:tblPr>
        <w:tblStyle w:val="4"/>
        <w:tblW w:w="9482"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618"/>
        <w:gridCol w:w="992"/>
        <w:gridCol w:w="1418"/>
        <w:gridCol w:w="4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条款号</w:t>
            </w:r>
          </w:p>
        </w:tc>
        <w:tc>
          <w:tcPr>
            <w:tcW w:w="3544" w:type="dxa"/>
            <w:gridSpan w:val="4"/>
            <w:tcBorders>
              <w:right w:val="single" w:color="auto" w:sz="4" w:space="0"/>
            </w:tcBorders>
            <w:vAlign w:val="center"/>
          </w:tcPr>
          <w:p>
            <w:pPr>
              <w:autoSpaceDE w:val="0"/>
              <w:autoSpaceDN w:val="0"/>
              <w:spacing w:line="440" w:lineRule="exact"/>
              <w:ind w:right="1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评审因素与权重分值</w:t>
            </w:r>
          </w:p>
        </w:tc>
        <w:tc>
          <w:tcPr>
            <w:tcW w:w="4961" w:type="dxa"/>
            <w:vMerge w:val="restart"/>
            <w:tcBorders>
              <w:left w:val="single" w:color="auto" w:sz="4" w:space="0"/>
            </w:tcBorders>
            <w:vAlign w:val="center"/>
          </w:tcPr>
          <w:p>
            <w:pPr>
              <w:autoSpaceDE w:val="0"/>
              <w:autoSpaceDN w:val="0"/>
              <w:spacing w:line="440" w:lineRule="exact"/>
              <w:ind w:right="1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4" w:hRule="exact"/>
        </w:trPr>
        <w:tc>
          <w:tcPr>
            <w:tcW w:w="977" w:type="dxa"/>
            <w:vMerge w:val="restart"/>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14:textFill>
                  <w14:solidFill>
                    <w14:schemeClr w14:val="tx1"/>
                  </w14:solidFill>
                </w14:textFill>
              </w:rPr>
              <w:t>2.2.4(1)</w:t>
            </w:r>
          </w:p>
        </w:tc>
        <w:tc>
          <w:tcPr>
            <w:tcW w:w="1134" w:type="dxa"/>
            <w:gridSpan w:val="2"/>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评分因素及权重分值</w:t>
            </w:r>
          </w:p>
        </w:tc>
        <w:tc>
          <w:tcPr>
            <w:tcW w:w="2410" w:type="dxa"/>
            <w:gridSpan w:val="2"/>
            <w:tcBorders>
              <w:right w:val="single" w:color="auto" w:sz="4" w:space="0"/>
            </w:tcBorders>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各评分因素</w:t>
            </w:r>
          </w:p>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细分项及分值</w:t>
            </w:r>
          </w:p>
        </w:tc>
        <w:tc>
          <w:tcPr>
            <w:tcW w:w="4961"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1134" w:type="dxa"/>
            <w:gridSpan w:val="2"/>
            <w:vMerge w:val="restart"/>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服务建议书</w:t>
            </w:r>
          </w:p>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45</w:t>
            </w:r>
            <w:r>
              <w:rPr>
                <w:rFonts w:hint="eastAsia" w:ascii="宋体" w:hAnsi="宋体" w:cs="宋体"/>
                <w:color w:val="000000" w:themeColor="text1"/>
                <w:kern w:val="0"/>
                <w:szCs w:val="21"/>
                <w14:textFill>
                  <w14:solidFill>
                    <w14:schemeClr w14:val="tx1"/>
                  </w14:solidFill>
                </w14:textFill>
              </w:rPr>
              <w:t>分）</w:t>
            </w:r>
          </w:p>
        </w:tc>
        <w:tc>
          <w:tcPr>
            <w:tcW w:w="992" w:type="dxa"/>
            <w:vMerge w:val="restart"/>
            <w:tcBorders>
              <w:right w:val="single" w:color="auto" w:sz="4" w:space="0"/>
            </w:tcBorders>
            <w:vAlign w:val="center"/>
          </w:tcPr>
          <w:p>
            <w:pPr>
              <w:autoSpaceDE w:val="0"/>
              <w:autoSpaceDN w:val="0"/>
              <w:snapToGrid w:val="0"/>
              <w:ind w:left="9" w:right="1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对研究项目的理解</w:t>
            </w:r>
          </w:p>
          <w:p>
            <w:pPr>
              <w:autoSpaceDE w:val="0"/>
              <w:autoSpaceDN w:val="0"/>
              <w:snapToGrid w:val="0"/>
              <w:ind w:left="9" w:right="1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1418" w:type="dxa"/>
            <w:tcBorders>
              <w:left w:val="single" w:color="auto" w:sz="4" w:space="0"/>
              <w:bottom w:val="single" w:color="auto" w:sz="4" w:space="0"/>
              <w:right w:val="single" w:color="auto" w:sz="4" w:space="0"/>
            </w:tcBorders>
            <w:vAlign w:val="center"/>
          </w:tcPr>
          <w:p>
            <w:pPr>
              <w:autoSpaceDE w:val="0"/>
              <w:autoSpaceDN w:val="0"/>
              <w:snapToGrid w:val="0"/>
              <w:ind w:left="9" w:right="11"/>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项目研究的目的与意义描述（5分）</w:t>
            </w:r>
          </w:p>
        </w:tc>
        <w:tc>
          <w:tcPr>
            <w:tcW w:w="4961" w:type="dxa"/>
            <w:tcBorders>
              <w:top w:val="single" w:color="auto" w:sz="4" w:space="0"/>
              <w:lef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目的明确、描述清晰，得4.0（不含）-5.0分；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目的较明确、描述较清晰，得3.0（不含）-4.0（含）分；</w:t>
            </w:r>
          </w:p>
          <w:p>
            <w:pPr>
              <w:pStyle w:val="3"/>
              <w:snapToGrid w:val="0"/>
              <w:jc w:val="left"/>
              <w:rPr>
                <w:rFonts w:hAnsi="宋体"/>
                <w:color w:val="000000" w:themeColor="text1"/>
                <w:kern w:val="2"/>
                <w:sz w:val="21"/>
                <w:szCs w:val="21"/>
                <w14:textFill>
                  <w14:solidFill>
                    <w14:schemeClr w14:val="tx1"/>
                  </w14:solidFill>
                </w14:textFill>
              </w:rPr>
            </w:pPr>
            <w:r>
              <w:rPr>
                <w:rFonts w:hint="eastAsia" w:hAnsi="宋体" w:cs="宋体"/>
                <w:color w:val="000000" w:themeColor="text1"/>
                <w14:textFill>
                  <w14:solidFill>
                    <w14:schemeClr w14:val="tx1"/>
                  </w14:solidFill>
                </w14:textFill>
              </w:rPr>
              <w:t>目的基本明确、描述一般，得3.0分。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1134" w:type="dxa"/>
            <w:gridSpan w:val="2"/>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992" w:type="dxa"/>
            <w:vMerge w:val="continue"/>
            <w:tcBorders>
              <w:right w:val="single" w:color="auto" w:sz="4" w:space="0"/>
            </w:tcBorders>
            <w:vAlign w:val="center"/>
          </w:tcPr>
          <w:p>
            <w:pPr>
              <w:autoSpaceDE w:val="0"/>
              <w:autoSpaceDN w:val="0"/>
              <w:snapToGrid w:val="0"/>
              <w:ind w:left="9" w:right="11"/>
              <w:jc w:val="center"/>
              <w:rPr>
                <w:rFonts w:ascii="宋体" w:hAnsi="宋体" w:cs="宋体"/>
                <w:color w:val="000000" w:themeColor="text1"/>
                <w:kern w:val="0"/>
                <w:szCs w:val="21"/>
                <w14:textFill>
                  <w14:solidFill>
                    <w14:schemeClr w14:val="tx1"/>
                  </w14:solidFill>
                </w14:textFill>
              </w:rPr>
            </w:pPr>
          </w:p>
        </w:tc>
        <w:tc>
          <w:tcPr>
            <w:tcW w:w="1418" w:type="dxa"/>
            <w:tcBorders>
              <w:top w:val="single" w:color="auto" w:sz="4" w:space="0"/>
              <w:left w:val="single" w:color="auto" w:sz="4" w:space="0"/>
              <w:right w:val="single" w:color="auto" w:sz="4" w:space="0"/>
            </w:tcBorders>
            <w:vAlign w:val="center"/>
          </w:tcPr>
          <w:p>
            <w:pPr>
              <w:autoSpaceDE w:val="0"/>
              <w:autoSpaceDN w:val="0"/>
              <w:snapToGrid w:val="0"/>
              <w:ind w:left="9" w:right="11"/>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国内研究现状分析及对本研究课题的认识（5分）</w:t>
            </w:r>
          </w:p>
        </w:tc>
        <w:tc>
          <w:tcPr>
            <w:tcW w:w="4961" w:type="dxa"/>
            <w:tcBorders>
              <w:top w:val="single" w:color="auto" w:sz="4" w:space="0"/>
              <w:lef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了解深入、清楚，得</w:t>
            </w:r>
            <w:r>
              <w:rPr>
                <w:rFonts w:hint="eastAsia" w:ascii="宋体" w:hAnsi="宋体" w:cs="宋体"/>
                <w:color w:val="000000" w:themeColor="text1"/>
                <w:szCs w:val="21"/>
                <w14:textFill>
                  <w14:solidFill>
                    <w14:schemeClr w14:val="tx1"/>
                  </w14:solidFill>
                </w14:textFill>
              </w:rPr>
              <w:t>4.0（不含）-5分；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了解较深入、较清楚，得3.0（不含）-4.0（含）分；</w:t>
            </w:r>
          </w:p>
          <w:p>
            <w:pPr>
              <w:pStyle w:val="3"/>
              <w:snapToGrid w:val="0"/>
              <w:jc w:val="left"/>
              <w:rPr>
                <w:rFonts w:hAnsi="宋体"/>
                <w:color w:val="000000" w:themeColor="text1"/>
                <w:kern w:val="2"/>
                <w:sz w:val="2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了解一般，得3.0分。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1134" w:type="dxa"/>
            <w:gridSpan w:val="2"/>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992" w:type="dxa"/>
            <w:vMerge w:val="restart"/>
            <w:tcBorders>
              <w:right w:val="single" w:color="auto" w:sz="4" w:space="0"/>
            </w:tcBorders>
            <w:vAlign w:val="center"/>
          </w:tcPr>
          <w:p>
            <w:pPr>
              <w:spacing w:line="320" w:lineRule="exact"/>
              <w:ind w:left="2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项目研究实施方案</w:t>
            </w:r>
          </w:p>
          <w:p>
            <w:pPr>
              <w:pStyle w:val="3"/>
              <w:snapToGrid w:val="0"/>
              <w:ind w:left="27" w:leftChars="-48" w:right="-31" w:rightChars="-15" w:hanging="128" w:hangingChars="64"/>
              <w:jc w:val="center"/>
              <w:rPr>
                <w:rFonts w:hAnsi="宋体"/>
                <w:color w:val="000000" w:themeColor="text1"/>
                <w:kern w:val="2"/>
                <w:sz w:val="21"/>
                <w:szCs w:val="21"/>
                <w14:textFill>
                  <w14:solidFill>
                    <w14:schemeClr w14:val="tx1"/>
                  </w14:solidFill>
                </w14:textFill>
              </w:rPr>
            </w:pPr>
            <w:r>
              <w:rPr>
                <w:rFonts w:hint="eastAsia" w:hAnsi="宋体" w:cs="宋体"/>
                <w:color w:val="000000" w:themeColor="text1"/>
                <w14:textFill>
                  <w14:solidFill>
                    <w14:schemeClr w14:val="tx1"/>
                  </w14:solidFill>
                </w14:textFill>
              </w:rPr>
              <w:t>(20分)</w:t>
            </w: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研究的主要内容描述（6分）</w:t>
            </w:r>
          </w:p>
        </w:tc>
        <w:tc>
          <w:tcPr>
            <w:tcW w:w="4961" w:type="dxa"/>
            <w:tcBorders>
              <w:lef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内容具体，方案切实可行，得4.8（不含）-6.0分；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内容清楚，方案基本可行，得3.6（不含）-4.8（含）分；</w:t>
            </w:r>
          </w:p>
          <w:p>
            <w:pPr>
              <w:pStyle w:val="3"/>
              <w:snapToGrid w:val="0"/>
              <w:jc w:val="left"/>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内容不够具体，方案一般，得3.6分；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1134" w:type="dxa"/>
            <w:gridSpan w:val="2"/>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992" w:type="dxa"/>
            <w:vMerge w:val="continue"/>
            <w:tcBorders>
              <w:right w:val="single" w:color="auto" w:sz="4" w:space="0"/>
            </w:tcBorders>
            <w:vAlign w:val="center"/>
          </w:tcPr>
          <w:p>
            <w:pPr>
              <w:pStyle w:val="3"/>
              <w:snapToGrid w:val="0"/>
              <w:ind w:left="33" w:leftChars="-48" w:right="-31" w:rightChars="-15" w:hanging="134" w:hangingChars="64"/>
              <w:jc w:val="center"/>
              <w:rPr>
                <w:rFonts w:hAnsi="宋体"/>
                <w:color w:val="000000" w:themeColor="text1"/>
                <w:kern w:val="2"/>
                <w:sz w:val="21"/>
                <w:szCs w:val="21"/>
                <w14:textFill>
                  <w14:solidFill>
                    <w14:schemeClr w14:val="tx1"/>
                  </w14:solidFill>
                </w14:textFill>
              </w:rPr>
            </w:pP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研究采用的技术路线（8分）</w:t>
            </w:r>
          </w:p>
        </w:tc>
        <w:tc>
          <w:tcPr>
            <w:tcW w:w="4961" w:type="dxa"/>
            <w:tcBorders>
              <w:lef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把握准确、描述具体清楚，得6.4（不含）-8.0分；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把握较准确、描述清楚，得4.8（不含）-6.4（含）分；</w:t>
            </w:r>
          </w:p>
          <w:p>
            <w:pPr>
              <w:pStyle w:val="3"/>
              <w:snapToGrid w:val="0"/>
              <w:jc w:val="left"/>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把握基本准确、描述基本清楚，得4.8分；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1134" w:type="dxa"/>
            <w:gridSpan w:val="2"/>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992" w:type="dxa"/>
            <w:vMerge w:val="continue"/>
            <w:tcBorders>
              <w:right w:val="single" w:color="auto" w:sz="4" w:space="0"/>
            </w:tcBorders>
            <w:vAlign w:val="center"/>
          </w:tcPr>
          <w:p>
            <w:pPr>
              <w:pStyle w:val="3"/>
              <w:snapToGrid w:val="0"/>
              <w:ind w:left="27" w:leftChars="-48" w:right="-31" w:rightChars="-15" w:hanging="128" w:hangingChars="64"/>
              <w:jc w:val="center"/>
              <w:rPr>
                <w:rFonts w:hAnsi="宋体" w:cs="宋体"/>
                <w:color w:val="000000" w:themeColor="text1"/>
                <w:szCs w:val="21"/>
                <w14:textFill>
                  <w14:solidFill>
                    <w14:schemeClr w14:val="tx1"/>
                  </w14:solidFill>
                </w14:textFill>
              </w:rPr>
            </w:pP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对原有创新点的理解和建议</w:t>
            </w:r>
          </w:p>
          <w:p>
            <w:pPr>
              <w:pStyle w:val="3"/>
              <w:autoSpaceDE w:val="0"/>
              <w:autoSpaceDN w:val="0"/>
              <w:snapToGrid w:val="0"/>
              <w:ind w:left="33" w:leftChars="-48" w:right="-31" w:rightChars="-15" w:hanging="134" w:hangingChars="64"/>
              <w:jc w:val="left"/>
              <w:rPr>
                <w:rFonts w:hAnsi="宋体" w:cs="宋体"/>
                <w:color w:val="000000" w:themeColor="text1"/>
                <w:kern w:val="2"/>
                <w:sz w:val="21"/>
                <w:szCs w:val="22"/>
                <w14:textFill>
                  <w14:solidFill>
                    <w14:schemeClr w14:val="tx1"/>
                  </w14:solidFill>
                </w14:textFill>
              </w:rPr>
            </w:pPr>
            <w:r>
              <w:rPr>
                <w:rFonts w:hint="eastAsia" w:hAnsi="宋体" w:cs="宋体"/>
                <w:color w:val="000000" w:themeColor="text1"/>
                <w:kern w:val="2"/>
                <w:sz w:val="21"/>
                <w:szCs w:val="22"/>
                <w14:textFill>
                  <w14:solidFill>
                    <w14:schemeClr w14:val="tx1"/>
                  </w14:solidFill>
                </w14:textFill>
              </w:rPr>
              <w:t>（6分）</w:t>
            </w:r>
          </w:p>
        </w:tc>
        <w:tc>
          <w:tcPr>
            <w:tcW w:w="4961" w:type="dxa"/>
            <w:tcBorders>
              <w:lef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明确、合理可行，得4.8（不含）-6.0分；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比较明确、较合理可行，得3.6（不含）-4.8（含）分；</w:t>
            </w:r>
          </w:p>
          <w:p>
            <w:pPr>
              <w:pStyle w:val="3"/>
              <w:snapToGrid w:val="0"/>
              <w:jc w:val="left"/>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基本明确、一般，得3.6分；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1134" w:type="dxa"/>
            <w:gridSpan w:val="2"/>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2410" w:type="dxa"/>
            <w:gridSpan w:val="2"/>
            <w:tcBorders>
              <w:right w:val="single" w:color="auto" w:sz="4" w:space="0"/>
            </w:tcBorders>
            <w:vAlign w:val="center"/>
          </w:tcPr>
          <w:p>
            <w:pPr>
              <w:spacing w:line="320" w:lineRule="exact"/>
              <w:ind w:left="2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工作计划与进度安排</w:t>
            </w:r>
          </w:p>
          <w:p>
            <w:pPr>
              <w:pStyle w:val="3"/>
              <w:snapToGrid w:val="0"/>
              <w:jc w:val="left"/>
              <w:rPr>
                <w:rFonts w:hAnsi="宋体"/>
                <w:color w:val="000000" w:themeColor="text1"/>
                <w:kern w:val="2"/>
                <w:sz w:val="21"/>
                <w:szCs w:val="21"/>
                <w14:textFill>
                  <w14:solidFill>
                    <w14:schemeClr w14:val="tx1"/>
                  </w14:solidFill>
                </w14:textFill>
              </w:rPr>
            </w:pP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5</w:t>
            </w:r>
            <w:r>
              <w:rPr>
                <w:rFonts w:hint="eastAsia" w:hAnsi="宋体" w:cs="宋体"/>
                <w:color w:val="000000" w:themeColor="text1"/>
                <w14:textFill>
                  <w14:solidFill>
                    <w14:schemeClr w14:val="tx1"/>
                  </w14:solidFill>
                </w14:textFill>
              </w:rPr>
              <w:t>分）</w:t>
            </w:r>
          </w:p>
        </w:tc>
        <w:tc>
          <w:tcPr>
            <w:tcW w:w="4961" w:type="dxa"/>
            <w:tcBorders>
              <w:lef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计划进度安排科学合理，得4.0（不含）-5.0分；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计划进度安排合理，得3.0（不含）-4.0（含）分；</w:t>
            </w:r>
          </w:p>
          <w:p>
            <w:pPr>
              <w:pStyle w:val="3"/>
              <w:snapToGrid w:val="0"/>
              <w:jc w:val="left"/>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计划进度安排基本合理，得3.0分。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1134" w:type="dxa"/>
            <w:gridSpan w:val="2"/>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2410" w:type="dxa"/>
            <w:gridSpan w:val="2"/>
            <w:tcBorders>
              <w:right w:val="single" w:color="auto" w:sz="4" w:space="0"/>
            </w:tcBorders>
            <w:vAlign w:val="center"/>
          </w:tcPr>
          <w:p>
            <w:pPr>
              <w:spacing w:line="320" w:lineRule="exact"/>
              <w:ind w:left="20"/>
              <w:jc w:val="left"/>
              <w:rPr>
                <w:rFonts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项目研究质量与进度保障措施（</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分）</w:t>
            </w:r>
          </w:p>
        </w:tc>
        <w:tc>
          <w:tcPr>
            <w:tcW w:w="4961" w:type="dxa"/>
            <w:tcBorders>
              <w:lef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研究质量与进度保障措施科学合理，可操作性强，得</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(不含)-</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.0分；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研究质量与进度保障措施较合理，可操作性较强，得</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（不含）-</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（含）分；</w:t>
            </w:r>
          </w:p>
          <w:p>
            <w:pPr>
              <w:pStyle w:val="3"/>
              <w:snapToGrid w:val="0"/>
              <w:jc w:val="left"/>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研究质量与进度保障措施一般，可操作性一般，得</w:t>
            </w:r>
            <w:r>
              <w:rPr>
                <w:rFonts w:hAnsi="宋体" w:cs="宋体"/>
                <w:color w:val="000000" w:themeColor="text1"/>
                <w:kern w:val="2"/>
                <w:sz w:val="21"/>
                <w:szCs w:val="21"/>
                <w14:textFill>
                  <w14:solidFill>
                    <w14:schemeClr w14:val="tx1"/>
                  </w14:solidFill>
                </w14:textFill>
              </w:rPr>
              <w:t>3.6</w:t>
            </w:r>
            <w:r>
              <w:rPr>
                <w:rFonts w:hint="eastAsia" w:hAnsi="宋体" w:cs="宋体"/>
                <w:color w:val="000000" w:themeColor="text1"/>
                <w:kern w:val="2"/>
                <w:sz w:val="21"/>
                <w:szCs w:val="2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1134" w:type="dxa"/>
            <w:gridSpan w:val="2"/>
            <w:vMerge w:val="continue"/>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p>
        </w:tc>
        <w:tc>
          <w:tcPr>
            <w:tcW w:w="2410" w:type="dxa"/>
            <w:gridSpan w:val="2"/>
            <w:tcBorders>
              <w:right w:val="single" w:color="auto" w:sz="4" w:space="0"/>
            </w:tcBorders>
            <w:vAlign w:val="center"/>
          </w:tcPr>
          <w:p>
            <w:pPr>
              <w:spacing w:line="320" w:lineRule="exact"/>
              <w:ind w:left="2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研究预期成果及推广前景</w:t>
            </w:r>
          </w:p>
          <w:p>
            <w:pPr>
              <w:pStyle w:val="3"/>
              <w:snapToGrid w:val="0"/>
              <w:jc w:val="left"/>
              <w:rPr>
                <w:rFonts w:hAnsi="宋体"/>
                <w:color w:val="000000" w:themeColor="text1"/>
                <w:kern w:val="2"/>
                <w:sz w:val="21"/>
                <w:szCs w:val="21"/>
                <w14:textFill>
                  <w14:solidFill>
                    <w14:schemeClr w14:val="tx1"/>
                  </w14:solidFill>
                </w14:textFill>
              </w:rPr>
            </w:pP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4</w:t>
            </w:r>
            <w:r>
              <w:rPr>
                <w:rFonts w:hint="eastAsia" w:hAnsi="宋体" w:cs="宋体"/>
                <w:color w:val="000000" w:themeColor="text1"/>
                <w14:textFill>
                  <w14:solidFill>
                    <w14:schemeClr w14:val="tx1"/>
                  </w14:solidFill>
                </w14:textFill>
              </w:rPr>
              <w:t>分）</w:t>
            </w:r>
          </w:p>
        </w:tc>
        <w:tc>
          <w:tcPr>
            <w:tcW w:w="4961" w:type="dxa"/>
            <w:tcBorders>
              <w:lef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预期成果符合招标项目要求, 推广应用前景把握准确、描述具体清楚，得</w:t>
            </w: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（不含）-</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.0分；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预期成果较符合招标项目要求, 推广应用前景把握较准确、描述清楚，得</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（不含）-</w:t>
            </w: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（含）分；</w:t>
            </w:r>
          </w:p>
          <w:p>
            <w:pPr>
              <w:pStyle w:val="3"/>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预期成果基本符合招标项目要求, 推广应用前景把握较准确、描述清楚，得</w:t>
            </w:r>
            <w:r>
              <w:rPr>
                <w:rFonts w:hAnsi="宋体" w:cs="宋体"/>
                <w:color w:val="000000" w:themeColor="text1"/>
                <w:kern w:val="2"/>
                <w:sz w:val="21"/>
                <w:szCs w:val="21"/>
                <w14:textFill>
                  <w14:solidFill>
                    <w14:schemeClr w14:val="tx1"/>
                  </w14:solidFill>
                </w14:textFill>
              </w:rPr>
              <w:t>2.4</w:t>
            </w:r>
            <w:r>
              <w:rPr>
                <w:rFonts w:hint="eastAsia" w:hAnsi="宋体" w:cs="宋体"/>
                <w:color w:val="000000" w:themeColor="text1"/>
                <w:kern w:val="2"/>
                <w:sz w:val="21"/>
                <w:szCs w:val="2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trPr>
        <w:tc>
          <w:tcPr>
            <w:tcW w:w="977" w:type="dxa"/>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14:textFill>
                  <w14:solidFill>
                    <w14:schemeClr w14:val="tx1"/>
                  </w14:solidFill>
                </w14:textFill>
              </w:rPr>
              <w:t>2.2.4(</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p>
        </w:tc>
        <w:tc>
          <w:tcPr>
            <w:tcW w:w="516" w:type="dxa"/>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主要人员</w:t>
            </w:r>
          </w:p>
        </w:tc>
        <w:tc>
          <w:tcPr>
            <w:tcW w:w="618" w:type="dxa"/>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20分</w:t>
            </w:r>
          </w:p>
        </w:tc>
        <w:tc>
          <w:tcPr>
            <w:tcW w:w="7371" w:type="dxa"/>
            <w:gridSpan w:val="3"/>
            <w:vAlign w:val="center"/>
          </w:tcPr>
          <w:p>
            <w:pPr>
              <w:pStyle w:val="3"/>
              <w:spacing w:line="300" w:lineRule="exact"/>
              <w:rPr>
                <w:rFonts w:hAnsi="宋体"/>
                <w:color w:val="000000" w:themeColor="text1"/>
                <w:kern w:val="2"/>
                <w:sz w:val="21"/>
                <w:szCs w:val="21"/>
                <w14:textFill>
                  <w14:solidFill>
                    <w14:schemeClr w14:val="tx1"/>
                  </w14:solidFill>
                </w14:textFill>
              </w:rPr>
            </w:pPr>
            <w:r>
              <w:rPr>
                <w:rFonts w:hint="eastAsia" w:hAnsi="宋体"/>
                <w:color w:val="000000" w:themeColor="text1"/>
                <w:szCs w:val="21"/>
                <w14:textFill>
                  <w14:solidFill>
                    <w14:schemeClr w14:val="tx1"/>
                  </w14:solidFill>
                </w14:textFill>
              </w:rPr>
              <w:t>项</w:t>
            </w:r>
            <w:r>
              <w:rPr>
                <w:rFonts w:hint="eastAsia" w:hAnsi="宋体"/>
                <w:color w:val="000000" w:themeColor="text1"/>
                <w:kern w:val="2"/>
                <w:sz w:val="21"/>
                <w:szCs w:val="21"/>
                <w14:textFill>
                  <w14:solidFill>
                    <w14:schemeClr w14:val="tx1"/>
                  </w14:solidFill>
                </w14:textFill>
              </w:rPr>
              <w:t>目负责人满足资格审查条件（项目负责人最低要求）得</w:t>
            </w:r>
            <w:r>
              <w:rPr>
                <w:rFonts w:hAnsi="宋体"/>
                <w:color w:val="000000" w:themeColor="text1"/>
                <w:kern w:val="2"/>
                <w:sz w:val="21"/>
                <w:szCs w:val="21"/>
                <w14:textFill>
                  <w14:solidFill>
                    <w14:schemeClr w14:val="tx1"/>
                  </w14:solidFill>
                </w14:textFill>
              </w:rPr>
              <w:t>12</w:t>
            </w:r>
            <w:r>
              <w:rPr>
                <w:rFonts w:hint="eastAsia" w:hAnsi="宋体"/>
                <w:color w:val="000000" w:themeColor="text1"/>
                <w:kern w:val="2"/>
                <w:sz w:val="21"/>
                <w:szCs w:val="21"/>
                <w14:textFill>
                  <w14:solidFill>
                    <w14:schemeClr w14:val="tx1"/>
                  </w14:solidFill>
                </w14:textFill>
              </w:rPr>
              <w:t>分。</w:t>
            </w:r>
          </w:p>
          <w:p>
            <w:pPr>
              <w:pStyle w:val="3"/>
              <w:spacing w:line="300" w:lineRule="exact"/>
              <w:rPr>
                <w:rFonts w:hAnsi="宋体"/>
                <w:color w:val="000000" w:themeColor="text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项目负责人每增加一项满足资格审查条件（项目负责人最低要求）的业绩加8分，最多加8分。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trPr>
        <w:tc>
          <w:tcPr>
            <w:tcW w:w="977" w:type="dxa"/>
            <w:vAlign w:val="center"/>
          </w:tcPr>
          <w:p>
            <w:pPr>
              <w:autoSpaceDE w:val="0"/>
              <w:autoSpaceDN w:val="0"/>
              <w:snapToGrid w:val="0"/>
              <w:ind w:right="11"/>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2.2.4(</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p>
        </w:tc>
        <w:tc>
          <w:tcPr>
            <w:tcW w:w="516" w:type="dxa"/>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评标价</w:t>
            </w:r>
          </w:p>
        </w:tc>
        <w:tc>
          <w:tcPr>
            <w:tcW w:w="618" w:type="dxa"/>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10分</w:t>
            </w:r>
          </w:p>
        </w:tc>
        <w:tc>
          <w:tcPr>
            <w:tcW w:w="7371" w:type="dxa"/>
            <w:gridSpan w:val="3"/>
            <w:vAlign w:val="center"/>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评标价得分计算公式：</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（1）如果投标人的评标价＞评标基准价，则评标价得分=F-偏差率×100×E1；</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（2）如果投标人的评标价≤评标基准价，则评标价得分=F+偏差率×100×E2。</w:t>
            </w:r>
          </w:p>
          <w:p>
            <w:pPr>
              <w:pStyle w:val="3"/>
              <w:spacing w:line="360" w:lineRule="exact"/>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其中，F=10；E1=0.2；E2=0.1；评标价最低得分为0分。</w:t>
            </w:r>
          </w:p>
          <w:p>
            <w:pPr>
              <w:pStyle w:val="3"/>
              <w:spacing w:line="300" w:lineRule="exact"/>
              <w:rPr>
                <w:rFonts w:hAnsi="宋体"/>
                <w:color w:val="000000" w:themeColor="text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评标价得分保留小数点后两位，小数点后第三位四舍五入。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4" w:hRule="atLeast"/>
        </w:trPr>
        <w:tc>
          <w:tcPr>
            <w:tcW w:w="977" w:type="dxa"/>
            <w:vAlign w:val="center"/>
          </w:tcPr>
          <w:p>
            <w:pPr>
              <w:autoSpaceDE w:val="0"/>
              <w:autoSpaceDN w:val="0"/>
              <w:snapToGrid w:val="0"/>
              <w:ind w:right="11"/>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2.2.4(</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p>
        </w:tc>
        <w:tc>
          <w:tcPr>
            <w:tcW w:w="516" w:type="dxa"/>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其他因素</w:t>
            </w:r>
          </w:p>
        </w:tc>
        <w:tc>
          <w:tcPr>
            <w:tcW w:w="618" w:type="dxa"/>
            <w:vAlign w:val="center"/>
          </w:tcPr>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业绩</w:t>
            </w:r>
          </w:p>
          <w:p>
            <w:pPr>
              <w:autoSpaceDE w:val="0"/>
              <w:autoSpaceDN w:val="0"/>
              <w:snapToGrid w:val="0"/>
              <w:ind w:right="1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w:t>
            </w:r>
          </w:p>
        </w:tc>
        <w:tc>
          <w:tcPr>
            <w:tcW w:w="7371" w:type="dxa"/>
            <w:gridSpan w:val="3"/>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投标人满足资格审查条件（业绩最低要求）得</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分。</w:t>
            </w:r>
          </w:p>
          <w:p>
            <w:pPr>
              <w:autoSpaceDE w:val="0"/>
              <w:autoSpaceDN w:val="0"/>
              <w:spacing w:line="360" w:lineRule="exact"/>
              <w:ind w:left="11" w:right="1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每增加一项满足资格审查条件（业绩最低要求）的业绩加</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分，最多加</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分。</w:t>
            </w:r>
          </w:p>
        </w:tc>
      </w:tr>
    </w:tbl>
    <w:p>
      <w:bookmarkStart w:id="9" w:name="_Hlk71130285"/>
      <w:r>
        <w:rPr>
          <w:rFonts w:hint="eastAsia" w:ascii="宋体" w:hAnsi="宋体"/>
          <w:color w:val="000000" w:themeColor="text1"/>
          <w:kern w:val="0"/>
          <w:sz w:val="20"/>
          <w:szCs w:val="20"/>
          <w14:textFill>
            <w14:solidFill>
              <w14:schemeClr w14:val="tx1"/>
            </w14:solidFill>
          </w14:textFill>
        </w:rPr>
        <w:t>注：</w:t>
      </w:r>
      <w:bookmarkEnd w:id="9"/>
      <w:r>
        <w:rPr>
          <w:rFonts w:hint="eastAsia" w:ascii="宋体" w:hAnsi="宋体"/>
          <w:color w:val="000000" w:themeColor="text1"/>
          <w:kern w:val="0"/>
          <w:sz w:val="20"/>
          <w:szCs w:val="20"/>
          <w14:textFill>
            <w14:solidFill>
              <w14:schemeClr w14:val="tx1"/>
            </w14:solidFill>
          </w14:textFill>
        </w:rPr>
        <w:t>（1）评委打分保留小数点后1位，服务建议书以评标委员会各成员的打分平均值确定，保留小数点后两位；汇总得分保留小数点后两位。（2）服务建议书评审因素缺项则该项得0分。</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0123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2023-11-24T00:45:43Z</dcterms:created>
  <dc:creator>Administrator</dc:creator>
  <cp:lastModifiedBy>李娜</cp:lastModifiedBy>
  <dcterms:modified xsi:type="dcterms:W3CDTF">2023-11-24T00:45:47Z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034FF0985E08464C852D5D23C5E08CAC_12</vt:lpwstr>
  </property>
</Properties>
</file>