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56" w:beforeLines="50" w:after="156" w:afterLines="50" w:line="240" w:lineRule="auto"/>
      </w:pPr>
      <w:bookmarkStart w:id="0" w:name="_Toc147926219"/>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bookmarkEnd w:id="0"/>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rPr>
          <w:rFonts w:ascii="宋体" w:hAnsi="宋体"/>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68" w:type="dxa"/>
            <w:gridSpan w:val="2"/>
            <w:vAlign w:val="center"/>
          </w:tcPr>
          <w:p>
            <w:pPr>
              <w:adjustRightInd w:val="0"/>
              <w:snapToGrid w:val="0"/>
              <w:spacing w:line="320" w:lineRule="exact"/>
              <w:ind w:left="-2" w:leftChars="-1"/>
              <w:jc w:val="center"/>
              <w:rPr>
                <w:rFonts w:ascii="宋体" w:hAnsi="宋体"/>
                <w:szCs w:val="21"/>
              </w:rPr>
            </w:pPr>
            <w:r>
              <w:rPr>
                <w:rFonts w:hint="eastAsia" w:ascii="宋体" w:hAnsi="宋体"/>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66" w:type="dxa"/>
            <w:vAlign w:val="center"/>
          </w:tcPr>
          <w:p>
            <w:pPr>
              <w:snapToGrid w:val="0"/>
              <w:spacing w:line="320" w:lineRule="exact"/>
              <w:jc w:val="center"/>
              <w:rPr>
                <w:rFonts w:ascii="宋体" w:hAnsi="宋体"/>
                <w:szCs w:val="21"/>
              </w:rPr>
            </w:pPr>
            <w:r>
              <w:rPr>
                <w:rFonts w:hint="eastAsia" w:ascii="宋体" w:hAnsi="宋体"/>
                <w:szCs w:val="21"/>
              </w:rPr>
              <w:t>营业执照</w:t>
            </w:r>
          </w:p>
        </w:tc>
        <w:tc>
          <w:tcPr>
            <w:tcW w:w="7702" w:type="dxa"/>
            <w:vAlign w:val="center"/>
          </w:tcPr>
          <w:p>
            <w:pPr>
              <w:snapToGrid w:val="0"/>
              <w:spacing w:line="320" w:lineRule="exact"/>
              <w:rPr>
                <w:rFonts w:ascii="宋体" w:hAnsi="宋体"/>
                <w:szCs w:val="21"/>
              </w:rPr>
            </w:pPr>
            <w:r>
              <w:rPr>
                <w:rFonts w:hint="eastAsia" w:ascii="宋体" w:hAnsi="宋体"/>
                <w:kern w:val="0"/>
                <w:szCs w:val="21"/>
              </w:rPr>
              <w:t>具有独立法人资格，具有有效的企业营业执照或事业单位法人证书。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466" w:type="dxa"/>
            <w:vAlign w:val="center"/>
          </w:tcPr>
          <w:p>
            <w:pPr>
              <w:snapToGrid w:val="0"/>
              <w:spacing w:line="320" w:lineRule="exact"/>
              <w:jc w:val="center"/>
              <w:rPr>
                <w:rFonts w:ascii="宋体" w:hAnsi="宋体"/>
                <w:szCs w:val="21"/>
              </w:rPr>
            </w:pPr>
            <w:r>
              <w:rPr>
                <w:rFonts w:hint="eastAsia" w:ascii="宋体" w:hAnsi="宋体"/>
                <w:szCs w:val="21"/>
              </w:rPr>
              <w:t>资质条件</w:t>
            </w:r>
          </w:p>
        </w:tc>
        <w:tc>
          <w:tcPr>
            <w:tcW w:w="7702" w:type="dxa"/>
            <w:vAlign w:val="center"/>
          </w:tcPr>
          <w:p>
            <w:pPr>
              <w:snapToGrid w:val="0"/>
              <w:spacing w:line="360" w:lineRule="exact"/>
              <w:rPr>
                <w:rFonts w:ascii="宋体" w:hAnsi="宋体"/>
                <w:kern w:val="0"/>
                <w:szCs w:val="21"/>
              </w:rPr>
            </w:pPr>
            <w:r>
              <w:rPr>
                <w:rFonts w:hint="eastAsia" w:ascii="宋体" w:hAnsi="宋体"/>
                <w:kern w:val="0"/>
                <w:szCs w:val="21"/>
              </w:rPr>
              <w:t>具有交通主管部门颁发的</w:t>
            </w:r>
            <w:r>
              <w:rPr>
                <w:rFonts w:ascii="宋体" w:hAnsi="宋体"/>
                <w:szCs w:val="21"/>
              </w:rPr>
              <w:t>公路工程</w:t>
            </w:r>
            <w:r>
              <w:rPr>
                <w:rFonts w:hint="eastAsia" w:ascii="宋体" w:hAnsi="宋体"/>
                <w:szCs w:val="21"/>
              </w:rPr>
              <w:t>交通工程专项</w:t>
            </w:r>
            <w:r>
              <w:rPr>
                <w:rFonts w:hint="eastAsia" w:ascii="宋体" w:hAnsi="宋体"/>
                <w:kern w:val="0"/>
                <w:szCs w:val="21"/>
              </w:rPr>
              <w:t>试验检测资质证书，同时具有省级及以上技术监督部门颁发的相应的CMA计量认证证书(独立法人单位下属的非独立法人检测机构具有上述资质的，视为该独立法人单位具有相应资质)。</w:t>
            </w:r>
          </w:p>
        </w:tc>
      </w:tr>
    </w:tbl>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209"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9209" w:type="dxa"/>
            <w:vAlign w:val="center"/>
          </w:tcPr>
          <w:p>
            <w:pPr>
              <w:snapToGrid w:val="0"/>
              <w:spacing w:line="360" w:lineRule="exact"/>
              <w:ind w:firstLine="420" w:firstLineChars="200"/>
              <w:rPr>
                <w:rFonts w:ascii="宋体" w:hAnsi="宋体"/>
                <w:szCs w:val="21"/>
              </w:rPr>
            </w:pPr>
            <w:r>
              <w:rPr>
                <w:rFonts w:hint="eastAsia" w:ascii="宋体" w:hAnsi="宋体"/>
                <w:kern w:val="0"/>
                <w:szCs w:val="21"/>
              </w:rPr>
              <w:t>近5年（2018年11月1日至投标截止时间，以合同签订时间为准）至少承担过1项高速公路（新建或改扩建或养护）机电工程检测项目业绩。</w:t>
            </w:r>
          </w:p>
        </w:tc>
      </w:tr>
    </w:tbl>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209"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209" w:type="dxa"/>
            <w:vAlign w:val="center"/>
          </w:tcPr>
          <w:p>
            <w:pPr>
              <w:snapToGrid w:val="0"/>
              <w:spacing w:line="360" w:lineRule="exact"/>
              <w:ind w:firstLine="420" w:firstLineChars="200"/>
              <w:rPr>
                <w:rFonts w:ascii="宋体" w:hAnsi="宋体"/>
                <w:szCs w:val="21"/>
              </w:rPr>
            </w:pPr>
            <w:r>
              <w:rPr>
                <w:rFonts w:hint="eastAsia" w:ascii="宋体" w:hAnsi="宋体"/>
                <w:kern w:val="0"/>
                <w:szCs w:val="21"/>
              </w:rPr>
              <w:t>投标人在过去1年中（2022年</w:t>
            </w:r>
            <w:r>
              <w:rPr>
                <w:rFonts w:ascii="宋体" w:hAnsi="宋体"/>
                <w:kern w:val="0"/>
                <w:szCs w:val="21"/>
              </w:rPr>
              <w:t>11月1日</w:t>
            </w:r>
            <w:r>
              <w:rPr>
                <w:rFonts w:hint="eastAsia" w:ascii="宋体" w:hAnsi="宋体"/>
                <w:kern w:val="0"/>
                <w:szCs w:val="21"/>
              </w:rPr>
              <w:t>至投标截止时间）不曾在高速公路机电工程检测合同中违约被逐或因投标人自身的原因而使高速公路机电工程检测合同被解除。</w:t>
            </w:r>
          </w:p>
        </w:tc>
      </w:tr>
    </w:tbl>
    <w:p>
      <w:pPr>
        <w:rPr>
          <w:rFonts w:ascii="宋体" w:hAnsi="宋体"/>
          <w:sz w:val="24"/>
          <w:szCs w:val="24"/>
        </w:rPr>
      </w:pP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附录4  资格审查条件（项目负责人最低要求）</w:t>
      </w:r>
    </w:p>
    <w:p>
      <w:pPr>
        <w:jc w:val="center"/>
        <w:rPr>
          <w:rFonts w:ascii="宋体" w:hAnsi="宋体"/>
          <w:b/>
          <w:sz w:val="24"/>
          <w:szCs w:val="24"/>
        </w:rPr>
      </w:pP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917"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300" w:type="dxa"/>
            <w:vAlign w:val="center"/>
          </w:tcPr>
          <w:p>
            <w:pPr>
              <w:jc w:val="center"/>
              <w:rPr>
                <w:rFonts w:ascii="宋体" w:hAnsi="宋体"/>
                <w:szCs w:val="21"/>
              </w:rPr>
            </w:pPr>
            <w:r>
              <w:rPr>
                <w:rFonts w:hint="eastAsia" w:ascii="宋体" w:hAnsi="宋体"/>
                <w:szCs w:val="21"/>
              </w:rPr>
              <w:t>项目负责人</w:t>
            </w:r>
          </w:p>
        </w:tc>
        <w:tc>
          <w:tcPr>
            <w:tcW w:w="992" w:type="dxa"/>
            <w:vAlign w:val="center"/>
          </w:tcPr>
          <w:p>
            <w:pPr>
              <w:jc w:val="center"/>
              <w:rPr>
                <w:rFonts w:ascii="宋体" w:hAnsi="宋体"/>
                <w:szCs w:val="21"/>
              </w:rPr>
            </w:pPr>
            <w:r>
              <w:rPr>
                <w:rFonts w:hint="eastAsia" w:ascii="宋体" w:hAnsi="宋体"/>
                <w:szCs w:val="21"/>
              </w:rPr>
              <w:t>1</w:t>
            </w:r>
          </w:p>
        </w:tc>
        <w:tc>
          <w:tcPr>
            <w:tcW w:w="6917" w:type="dxa"/>
            <w:vAlign w:val="center"/>
          </w:tcPr>
          <w:p>
            <w:pPr>
              <w:jc w:val="left"/>
              <w:rPr>
                <w:rFonts w:ascii="宋体" w:hAnsi="宋体"/>
                <w:szCs w:val="21"/>
              </w:rPr>
            </w:pPr>
            <w:r>
              <w:rPr>
                <w:rFonts w:hint="eastAsia" w:ascii="宋体" w:hAnsi="宋体"/>
                <w:szCs w:val="21"/>
              </w:rPr>
              <w:t>高级工程师；</w:t>
            </w:r>
          </w:p>
          <w:p>
            <w:pPr>
              <w:jc w:val="left"/>
              <w:rPr>
                <w:rFonts w:ascii="宋体" w:hAnsi="宋体"/>
                <w:szCs w:val="21"/>
              </w:rPr>
            </w:pPr>
            <w:r>
              <w:rPr>
                <w:rFonts w:hint="eastAsia" w:ascii="宋体" w:hAnsi="宋体"/>
                <w:szCs w:val="21"/>
              </w:rPr>
              <w:t>具有交通运输部颁发的机电工程专业或交通工程专项试验检测工程师证书且在投标单位进行注册；</w:t>
            </w:r>
          </w:p>
          <w:p>
            <w:pPr>
              <w:jc w:val="left"/>
              <w:rPr>
                <w:rFonts w:ascii="宋体" w:hAnsi="宋体"/>
                <w:szCs w:val="21"/>
              </w:rPr>
            </w:pPr>
            <w:r>
              <w:rPr>
                <w:rFonts w:hint="eastAsia" w:ascii="宋体" w:hAnsi="宋体"/>
                <w:szCs w:val="21"/>
              </w:rPr>
              <w:t>近5年（2018年</w:t>
            </w:r>
            <w:r>
              <w:rPr>
                <w:rFonts w:ascii="宋体" w:hAnsi="宋体"/>
                <w:szCs w:val="21"/>
              </w:rPr>
              <w:t>11月1日</w:t>
            </w:r>
            <w:r>
              <w:rPr>
                <w:rFonts w:hint="eastAsia" w:ascii="宋体" w:hAnsi="宋体"/>
                <w:szCs w:val="21"/>
              </w:rPr>
              <w:t>至投标截止时间，以合同签订时间为准）至少担任过1项高速公路（新建或改扩建或养护）机电工程检测项目的项目负责人。</w:t>
            </w:r>
          </w:p>
        </w:tc>
      </w:tr>
    </w:tbl>
    <w:p>
      <w:pPr>
        <w:rPr>
          <w:rFonts w:ascii="宋体" w:hAnsi="宋体"/>
          <w:sz w:val="24"/>
          <w:szCs w:val="24"/>
        </w:rPr>
      </w:pPr>
    </w:p>
    <w:p>
      <w:pPr>
        <w:pStyle w:val="2"/>
        <w:snapToGrid w:val="0"/>
        <w:spacing w:before="156" w:beforeLines="50" w:after="156" w:afterLines="50" w:line="240" w:lineRule="auto"/>
        <w:rPr>
          <w:rFonts w:ascii="宋体" w:hAnsi="宋体"/>
          <w:sz w:val="24"/>
          <w:szCs w:val="24"/>
        </w:rPr>
      </w:pPr>
      <w:r>
        <w:rPr>
          <w:rFonts w:ascii="黑体" w:eastAsia="黑体"/>
          <w:spacing w:val="-8"/>
          <w:sz w:val="24"/>
          <w:szCs w:val="24"/>
        </w:rPr>
        <w:br w:type="page"/>
      </w:r>
      <w:bookmarkStart w:id="1" w:name="_Toc147926220"/>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1"/>
    </w:p>
    <w:p>
      <w:pPr>
        <w:pStyle w:val="2"/>
        <w:snapToGrid w:val="0"/>
        <w:spacing w:before="120" w:after="120" w:line="240" w:lineRule="auto"/>
        <w:rPr>
          <w:sz w:val="24"/>
          <w:szCs w:val="24"/>
        </w:rPr>
      </w:pPr>
      <w:bookmarkStart w:id="2" w:name="_Toc65857110"/>
      <w:bookmarkStart w:id="3" w:name="_Toc66984522"/>
      <w:bookmarkStart w:id="4" w:name="_Toc65820978"/>
      <w:bookmarkStart w:id="5" w:name="_Toc147926221"/>
      <w:bookmarkStart w:id="6" w:name="_Toc138923911"/>
      <w:bookmarkStart w:id="7" w:name="_Toc66337244"/>
      <w:bookmarkStart w:id="8" w:name="_Hlk147755811"/>
      <w:r>
        <w:rPr>
          <w:rFonts w:hint="eastAsia"/>
          <w:sz w:val="24"/>
          <w:szCs w:val="24"/>
        </w:rPr>
        <w:t>评标办法前附表</w:t>
      </w:r>
      <w:bookmarkEnd w:id="2"/>
      <w:bookmarkEnd w:id="3"/>
      <w:bookmarkEnd w:id="4"/>
      <w:bookmarkEnd w:id="5"/>
      <w:bookmarkEnd w:id="6"/>
      <w:bookmarkEnd w:id="7"/>
    </w:p>
    <w:tbl>
      <w:tblPr>
        <w:tblStyle w:val="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1"/>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58" w:type="dxa"/>
            <w:gridSpan w:val="2"/>
            <w:vAlign w:val="center"/>
          </w:tcPr>
          <w:p>
            <w:pPr>
              <w:jc w:val="center"/>
              <w:rPr>
                <w:rFonts w:ascii="宋体" w:hAnsi="宋体"/>
              </w:rPr>
            </w:pPr>
            <w:r>
              <w:rPr>
                <w:rFonts w:hint="eastAsia" w:ascii="宋体" w:hAnsi="宋体"/>
              </w:rPr>
              <w:t>条款号</w:t>
            </w:r>
          </w:p>
        </w:tc>
        <w:tc>
          <w:tcPr>
            <w:tcW w:w="7648" w:type="dxa"/>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rPr>
            </w:pPr>
            <w:r>
              <w:rPr>
                <w:rFonts w:hint="eastAsia" w:ascii="宋体" w:hAnsi="宋体"/>
              </w:rPr>
              <w:t>1</w:t>
            </w:r>
          </w:p>
        </w:tc>
        <w:tc>
          <w:tcPr>
            <w:tcW w:w="1134" w:type="dxa"/>
            <w:vAlign w:val="center"/>
          </w:tcPr>
          <w:p>
            <w:pPr>
              <w:jc w:val="center"/>
              <w:rPr>
                <w:rFonts w:ascii="宋体" w:hAnsi="宋体"/>
              </w:rPr>
            </w:pPr>
            <w:r>
              <w:rPr>
                <w:rFonts w:hint="eastAsia" w:ascii="宋体" w:hAnsi="宋体"/>
              </w:rPr>
              <w:t>评标方法</w:t>
            </w:r>
          </w:p>
        </w:tc>
        <w:tc>
          <w:tcPr>
            <w:tcW w:w="7648" w:type="dxa"/>
            <w:vAlign w:val="center"/>
          </w:tcPr>
          <w:p>
            <w:pPr>
              <w:ind w:firstLine="315" w:firstLineChars="150"/>
              <w:jc w:val="left"/>
              <w:rPr>
                <w:rFonts w:ascii="宋体" w:hAnsi="宋体"/>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但投标报价低于其成本的除外。综合评分相等时，评标委员会依次按照以下优先顺序推荐中标候选人：</w:t>
            </w:r>
          </w:p>
          <w:p>
            <w:pPr>
              <w:ind w:firstLine="315" w:firstLineChars="150"/>
              <w:jc w:val="left"/>
              <w:rPr>
                <w:rFonts w:ascii="宋体" w:hAnsi="宋体"/>
              </w:rPr>
            </w:pPr>
            <w:r>
              <w:rPr>
                <w:rFonts w:hint="eastAsia" w:ascii="宋体" w:hAnsi="宋体"/>
              </w:rPr>
              <w:t>（1）评标价低的投标人优先；</w:t>
            </w:r>
          </w:p>
          <w:p>
            <w:pPr>
              <w:ind w:firstLine="315" w:firstLineChars="150"/>
              <w:jc w:val="left"/>
              <w:rPr>
                <w:rFonts w:ascii="宋体" w:hAnsi="宋体"/>
              </w:rPr>
            </w:pPr>
            <w:r>
              <w:rPr>
                <w:rFonts w:hint="eastAsia" w:ascii="宋体" w:hAnsi="宋体"/>
              </w:rPr>
              <w:t>（2）技术建议书得分较高的投标人优先；</w:t>
            </w:r>
          </w:p>
          <w:p>
            <w:pPr>
              <w:ind w:firstLine="315" w:firstLineChars="150"/>
              <w:jc w:val="left"/>
              <w:rPr>
                <w:rFonts w:ascii="宋体" w:hAnsi="宋体"/>
              </w:rPr>
            </w:pPr>
            <w:r>
              <w:rPr>
                <w:rFonts w:hint="eastAsia" w:ascii="宋体" w:hAnsi="宋体"/>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rPr>
            </w:pPr>
            <w:r>
              <w:rPr>
                <w:rFonts w:ascii="宋体" w:hAnsi="宋体"/>
              </w:rPr>
              <w:t>2.1.1</w:t>
            </w:r>
          </w:p>
          <w:p>
            <w:pPr>
              <w:jc w:val="center"/>
              <w:rPr>
                <w:rFonts w:ascii="宋体" w:hAnsi="宋体"/>
              </w:rPr>
            </w:pPr>
            <w:r>
              <w:rPr>
                <w:rFonts w:ascii="宋体" w:hAnsi="宋体"/>
              </w:rPr>
              <w:t>2.1.3</w:t>
            </w:r>
          </w:p>
        </w:tc>
        <w:tc>
          <w:tcPr>
            <w:tcW w:w="1134" w:type="dxa"/>
            <w:vAlign w:val="center"/>
          </w:tcPr>
          <w:p>
            <w:pPr>
              <w:jc w:val="center"/>
              <w:rPr>
                <w:rFonts w:ascii="宋体" w:hAnsi="宋体"/>
              </w:rPr>
            </w:pPr>
            <w:r>
              <w:rPr>
                <w:rFonts w:hint="eastAsia" w:ascii="宋体" w:hAnsi="宋体"/>
              </w:rPr>
              <w:t>形式评审与响应性评审标准</w:t>
            </w:r>
          </w:p>
        </w:tc>
        <w:tc>
          <w:tcPr>
            <w:tcW w:w="7648" w:type="dxa"/>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a．投标函按招标文件规定填报了招标人名称、项目名称、补遗书编号（如有）、项目负责人相关信息、质量要求、安全目标、服务期限等内容；</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10" w:firstLineChars="1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）投标文件上法定代表人或其委托代理人的签字、投标人的单位盖章齐全，符合招标文件规定。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）投标人按照招标文件的规定提供了投标保证金：</w:t>
            </w:r>
          </w:p>
          <w:p>
            <w:pPr>
              <w:tabs>
                <w:tab w:val="left" w:pos="3060"/>
              </w:tabs>
              <w:spacing w:line="320" w:lineRule="exact"/>
              <w:ind w:firstLine="420" w:firstLineChars="20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20" w:lineRule="exact"/>
              <w:ind w:firstLine="420" w:firstLineChars="200"/>
              <w:rPr>
                <w:rFonts w:ascii="宋体" w:hAnsi="宋体"/>
                <w:szCs w:val="21"/>
              </w:rPr>
            </w:pPr>
            <w:r>
              <w:rPr>
                <w:rFonts w:hint="eastAsia" w:ascii="宋体" w:hAnsi="宋体"/>
                <w:szCs w:val="21"/>
              </w:rPr>
              <w:t>b.若投标保证金采电汇或转账形式提交，投标人应在递交投标文件截止时间之前，将投标保证金由投标人的基本账户转入招标人指定账户；</w:t>
            </w:r>
          </w:p>
          <w:p>
            <w:pPr>
              <w:tabs>
                <w:tab w:val="left" w:pos="3060"/>
              </w:tabs>
              <w:spacing w:line="320" w:lineRule="exact"/>
              <w:ind w:firstLine="420" w:firstLineChars="200"/>
              <w:rPr>
                <w:rFonts w:ascii="宋体" w:hAnsi="宋体"/>
                <w:szCs w:val="21"/>
              </w:rPr>
            </w:pPr>
            <w:r>
              <w:rPr>
                <w:rFonts w:hint="eastAsia" w:ascii="宋体" w:hAnsi="宋体"/>
                <w:szCs w:val="21"/>
              </w:rPr>
              <w:t>c.若投标保证金采用保函形式提交，开具的保函满足招标文件要求。</w:t>
            </w:r>
          </w:p>
          <w:p>
            <w:pPr>
              <w:tabs>
                <w:tab w:val="left" w:pos="3060"/>
              </w:tabs>
              <w:spacing w:line="320" w:lineRule="exact"/>
              <w:ind w:firstLine="420" w:firstLineChars="200"/>
              <w:rPr>
                <w:rFonts w:ascii="宋体" w:hAnsi="宋体"/>
                <w:szCs w:val="21"/>
              </w:rPr>
            </w:pPr>
            <w:r>
              <w:rPr>
                <w:rFonts w:hint="eastAsia" w:ascii="宋体" w:hAnsi="宋体"/>
                <w:szCs w:val="21"/>
              </w:rPr>
              <w:t>d.若投标保证金采用保证保险形式提交，开具的保证保险满足招标文件要求。</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授权委托书符合招标文件规定。投标人法定代表人亲自签署投标文件的，提供了法定代表人身份证明，法定代表人身份证明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）投标人未以联合体形式投标。</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投标人未对本项目提出分包计划</w:t>
            </w:r>
            <w:r>
              <w:rPr>
                <w:rFonts w:hint="eastAsia" w:ascii="宋体" w:hAnsi="宋体"/>
                <w:szCs w:val="21"/>
              </w:rPr>
              <w:t>。</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）同一投标人未提交两个以上不同的投标文件或备选方案。</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）投标文件载明的招标项目完成期限未超过招标文件规定的时限。</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）投标文件对招标文件的实质性要求和条件作出响应。</w:t>
            </w:r>
          </w:p>
          <w:p>
            <w:pPr>
              <w:tabs>
                <w:tab w:val="left" w:pos="3060"/>
              </w:tabs>
              <w:spacing w:line="320" w:lineRule="exact"/>
              <w:ind w:firstLine="210" w:firstLineChars="1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）权利义务符合招标文件规定：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20" w:lineRule="exact"/>
              <w:ind w:firstLine="210" w:firstLineChars="100"/>
              <w:rPr>
                <w:rFonts w:ascii="宋体" w:hAnsi="宋体"/>
                <w:szCs w:val="21"/>
              </w:rPr>
            </w:pPr>
            <w:r>
              <w:rPr>
                <w:rFonts w:hint="eastAsia" w:ascii="宋体" w:hAnsi="宋体"/>
                <w:szCs w:val="21"/>
              </w:rPr>
              <w:t>b.投标人未增加委托人的责任范围，或减少投标人义务；</w:t>
            </w:r>
          </w:p>
          <w:p>
            <w:pPr>
              <w:tabs>
                <w:tab w:val="left" w:pos="3060"/>
              </w:tabs>
              <w:spacing w:line="32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2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2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2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210" w:firstLineChars="100"/>
              <w:rPr>
                <w:rFonts w:ascii="宋体" w:hAnsi="宋体"/>
                <w:szCs w:val="21"/>
              </w:rPr>
            </w:pP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a．投标函按招标文件规定填报了招标人名称、项目名称、补遗书编号（如有）、投标价（包括大写金额和小写金额）；</w:t>
            </w:r>
          </w:p>
          <w:p>
            <w:pPr>
              <w:tabs>
                <w:tab w:val="left" w:pos="3060"/>
              </w:tabs>
              <w:spacing w:line="320" w:lineRule="exact"/>
              <w:ind w:firstLine="420" w:firstLineChars="200"/>
              <w:rPr>
                <w:rFonts w:ascii="宋体" w:hAnsi="宋体"/>
                <w:szCs w:val="21"/>
              </w:rPr>
            </w:pPr>
            <w:r>
              <w:rPr>
                <w:rFonts w:hint="eastAsia" w:ascii="宋体" w:hAnsi="宋体"/>
                <w:szCs w:val="21"/>
              </w:rPr>
              <w:t>b．已标价报价清单说明（如有）文字与招标文件规定一致，未进行实质性修改和删减；</w:t>
            </w:r>
          </w:p>
          <w:p>
            <w:pPr>
              <w:tabs>
                <w:tab w:val="left" w:pos="3060"/>
              </w:tabs>
              <w:spacing w:line="320" w:lineRule="exact"/>
              <w:ind w:firstLine="420" w:firstLineChars="200"/>
              <w:rPr>
                <w:rFonts w:ascii="宋体" w:hAnsi="宋体"/>
                <w:szCs w:val="21"/>
              </w:rPr>
            </w:pPr>
            <w:r>
              <w:rPr>
                <w:rFonts w:hint="eastAsia" w:ascii="宋体" w:hAnsi="宋体"/>
                <w:szCs w:val="21"/>
              </w:rPr>
              <w:t>c．投标文件组成齐全完整，内容均按规定填写。</w:t>
            </w:r>
          </w:p>
          <w:p>
            <w:pPr>
              <w:tabs>
                <w:tab w:val="left" w:pos="3060"/>
              </w:tabs>
              <w:spacing w:line="320" w:lineRule="exact"/>
              <w:ind w:firstLine="205" w:firstLineChars="98"/>
              <w:rPr>
                <w:rFonts w:ascii="宋体" w:hAnsi="宋体"/>
                <w:bCs/>
                <w:szCs w:val="21"/>
              </w:rPr>
            </w:pPr>
            <w:r>
              <w:rPr>
                <w:rFonts w:hint="eastAsia" w:ascii="宋体" w:hAnsi="宋体"/>
                <w:bCs/>
                <w:szCs w:val="21"/>
              </w:rPr>
              <w:t>（2）投标文件上法定代表人或其委托代理人的签字、投标人的单位章盖章齐全，符合招标文件规定。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bCs/>
              </w:rPr>
              <w:t>投标函中的投标报价未超过招标文件设定的最高投标限价，</w:t>
            </w:r>
            <w:r>
              <w:rPr>
                <w:rFonts w:hint="eastAsia" w:ascii="宋体" w:hAnsi="宋体"/>
                <w:bCs/>
                <w:szCs w:val="24"/>
              </w:rPr>
              <w:t>费用清单中</w:t>
            </w:r>
            <w:r>
              <w:rPr>
                <w:rFonts w:hint="eastAsia" w:ascii="宋体" w:hAnsi="宋体"/>
                <w:bCs/>
              </w:rPr>
              <w:t>子项目报价均未超过招标文件设定的各子项目最高投标限价。</w:t>
            </w:r>
          </w:p>
          <w:p>
            <w:pPr>
              <w:tabs>
                <w:tab w:val="left" w:pos="3060"/>
              </w:tabs>
              <w:spacing w:line="320" w:lineRule="exact"/>
              <w:ind w:firstLine="105" w:firstLineChars="5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）投标报价中报价的大写金额能够确定具体数值。</w:t>
            </w:r>
          </w:p>
          <w:p>
            <w:pPr>
              <w:tabs>
                <w:tab w:val="left" w:pos="3060"/>
              </w:tabs>
              <w:spacing w:line="320" w:lineRule="exact"/>
              <w:ind w:firstLine="105" w:firstLineChars="5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）同一投标人未提交两个以上不同的投标报价。</w:t>
            </w:r>
          </w:p>
          <w:p>
            <w:pPr>
              <w:tabs>
                <w:tab w:val="left" w:pos="3060"/>
              </w:tabs>
              <w:spacing w:line="320" w:lineRule="exact"/>
              <w:ind w:firstLine="105" w:firstLineChars="50"/>
              <w:rPr>
                <w:rFonts w:ascii="宋体" w:hAnsi="宋体"/>
                <w:b/>
                <w:szCs w:val="21"/>
              </w:rPr>
            </w:pPr>
            <w:r>
              <w:rPr>
                <w:rFonts w:hint="eastAsia" w:ascii="宋体" w:hAnsi="宋体"/>
                <w:szCs w:val="21"/>
              </w:rPr>
              <w:t>（6）费用清单</w:t>
            </w:r>
            <w:r>
              <w:rPr>
                <w:rFonts w:hint="eastAsia" w:ascii="宋体" w:hAnsi="宋体"/>
                <w:bCs/>
                <w:szCs w:val="21"/>
              </w:rPr>
              <w:t>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rPr>
            </w:pPr>
            <w:r>
              <w:rPr>
                <w:rFonts w:ascii="宋体" w:hAnsi="宋体"/>
              </w:rPr>
              <w:t>2.1.2</w:t>
            </w:r>
          </w:p>
        </w:tc>
        <w:tc>
          <w:tcPr>
            <w:tcW w:w="1134" w:type="dxa"/>
            <w:vAlign w:val="center"/>
          </w:tcPr>
          <w:p>
            <w:pPr>
              <w:jc w:val="center"/>
              <w:rPr>
                <w:rFonts w:ascii="宋体" w:hAnsi="宋体"/>
              </w:rPr>
            </w:pPr>
            <w:r>
              <w:rPr>
                <w:rFonts w:hint="eastAsia" w:ascii="宋体" w:hAnsi="宋体"/>
              </w:rPr>
              <w:t>资格评审标准</w:t>
            </w:r>
          </w:p>
        </w:tc>
        <w:tc>
          <w:tcPr>
            <w:tcW w:w="7648" w:type="dxa"/>
          </w:tcPr>
          <w:p>
            <w:pPr>
              <w:tabs>
                <w:tab w:val="left" w:pos="3060"/>
              </w:tabs>
              <w:spacing w:line="320" w:lineRule="exact"/>
              <w:ind w:firstLine="105" w:firstLineChars="50"/>
              <w:rPr>
                <w:rFonts w:ascii="宋体" w:hAnsi="宋体"/>
                <w:szCs w:val="21"/>
              </w:rPr>
            </w:pPr>
            <w:r>
              <w:rPr>
                <w:rFonts w:hint="eastAsia" w:ascii="宋体" w:hAnsi="宋体"/>
                <w:szCs w:val="21"/>
              </w:rPr>
              <w:t>（1）投标人具备有效的营业执照、组织机构代码证（三证合一的除外）、资质证书和基本账户开户许可证（或基本存款账户信息）；</w:t>
            </w:r>
          </w:p>
          <w:p>
            <w:pPr>
              <w:tabs>
                <w:tab w:val="left" w:pos="3060"/>
              </w:tabs>
              <w:spacing w:line="320" w:lineRule="exact"/>
              <w:ind w:firstLine="105" w:firstLineChars="50"/>
              <w:rPr>
                <w:rFonts w:ascii="宋体" w:hAnsi="宋体"/>
                <w:szCs w:val="21"/>
              </w:rPr>
            </w:pPr>
            <w:r>
              <w:rPr>
                <w:rFonts w:hint="eastAsia" w:ascii="宋体" w:hAnsi="宋体"/>
                <w:szCs w:val="21"/>
              </w:rPr>
              <w:t>（2）投标人的资质等级符合招标文件规定；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（3）投标人的类似项目业绩符合招标文件规定；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（4）投标人的信誉符合招标文件规定；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 xml:space="preserve">（5）投标人的项目负责人资格符合招标文件规定； </w:t>
            </w:r>
          </w:p>
          <w:p>
            <w:pPr>
              <w:tabs>
                <w:tab w:val="left" w:pos="3060"/>
              </w:tabs>
              <w:spacing w:line="320" w:lineRule="exact"/>
              <w:ind w:firstLine="105" w:firstLineChars="50"/>
              <w:rPr>
                <w:rFonts w:ascii="宋体" w:hAnsi="宋体"/>
                <w:szCs w:val="21"/>
              </w:rPr>
            </w:pPr>
            <w:r>
              <w:rPr>
                <w:rFonts w:hint="eastAsia" w:ascii="宋体" w:hAnsi="宋体"/>
                <w:szCs w:val="21"/>
              </w:rPr>
              <w:t>（6）投标人不存在第二章“投标人须知”第1.4.3项或第1.4.4项规定的任何一种情形。</w:t>
            </w:r>
          </w:p>
          <w:p>
            <w:pPr>
              <w:tabs>
                <w:tab w:val="left" w:pos="3060"/>
              </w:tabs>
              <w:spacing w:line="320" w:lineRule="exact"/>
              <w:ind w:firstLine="105" w:firstLineChars="50"/>
              <w:rPr>
                <w:rFonts w:ascii="宋体" w:hAnsi="宋体"/>
                <w:szCs w:val="21"/>
              </w:rPr>
            </w:pPr>
            <w:r>
              <w:rPr>
                <w:rFonts w:hint="eastAsia" w:ascii="宋体" w:hAnsi="宋体"/>
                <w:szCs w:val="21"/>
              </w:rPr>
              <w:t>（7）投标人符合第二章“投标人须知”第1.4.</w:t>
            </w:r>
            <w:r>
              <w:rPr>
                <w:rFonts w:ascii="宋体" w:hAnsi="宋体"/>
                <w:szCs w:val="21"/>
              </w:rPr>
              <w:t>5</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rPr>
            </w:pPr>
            <w:r>
              <w:rPr>
                <w:rFonts w:ascii="宋体" w:hAnsi="宋体"/>
              </w:rPr>
              <w:t>2.2.1</w:t>
            </w:r>
          </w:p>
        </w:tc>
        <w:tc>
          <w:tcPr>
            <w:tcW w:w="1134" w:type="dxa"/>
            <w:vAlign w:val="center"/>
          </w:tcPr>
          <w:p>
            <w:pPr>
              <w:jc w:val="center"/>
              <w:rPr>
                <w:rFonts w:ascii="宋体" w:hAnsi="宋体"/>
              </w:rPr>
            </w:pPr>
            <w:r>
              <w:rPr>
                <w:rFonts w:hint="eastAsia" w:ascii="宋体" w:hAnsi="宋体"/>
              </w:rPr>
              <w:t>分值构成（总分100分）</w:t>
            </w:r>
          </w:p>
        </w:tc>
        <w:tc>
          <w:tcPr>
            <w:tcW w:w="7648" w:type="dxa"/>
            <w:vAlign w:val="center"/>
          </w:tcPr>
          <w:p>
            <w:pPr>
              <w:jc w:val="left"/>
              <w:rPr>
                <w:rFonts w:ascii="宋体" w:hAnsi="宋体"/>
                <w:b/>
              </w:rPr>
            </w:pPr>
            <w:r>
              <w:rPr>
                <w:rFonts w:hint="eastAsia" w:ascii="宋体" w:hAnsi="宋体"/>
                <w:b/>
              </w:rPr>
              <w:t>第一个信封（商务及技术文件）评分分值构成：</w:t>
            </w:r>
          </w:p>
          <w:p>
            <w:pPr>
              <w:jc w:val="left"/>
              <w:rPr>
                <w:rFonts w:ascii="宋体" w:hAnsi="宋体"/>
                <w:b/>
              </w:rPr>
            </w:pPr>
            <w:r>
              <w:rPr>
                <w:rFonts w:hint="eastAsia" w:ascii="宋体" w:hAnsi="宋体"/>
                <w:b/>
              </w:rPr>
              <w:t>技术建议书：</w:t>
            </w:r>
            <w:r>
              <w:rPr>
                <w:rFonts w:hint="eastAsia" w:ascii="宋体" w:hAnsi="宋体"/>
                <w:b/>
                <w:u w:val="single"/>
              </w:rPr>
              <w:t>45</w:t>
            </w:r>
            <w:r>
              <w:rPr>
                <w:rFonts w:hint="eastAsia" w:ascii="宋体" w:hAnsi="宋体"/>
                <w:b/>
              </w:rPr>
              <w:t>分</w:t>
            </w:r>
          </w:p>
          <w:p>
            <w:pPr>
              <w:jc w:val="left"/>
              <w:rPr>
                <w:rFonts w:ascii="宋体" w:hAnsi="宋体"/>
                <w:b/>
              </w:rPr>
            </w:pPr>
            <w:r>
              <w:rPr>
                <w:rFonts w:hint="eastAsia" w:ascii="宋体" w:hAnsi="宋体"/>
                <w:b/>
              </w:rPr>
              <w:t>主要人员：</w:t>
            </w:r>
            <w:r>
              <w:rPr>
                <w:rFonts w:ascii="宋体" w:hAnsi="宋体"/>
                <w:b/>
                <w:u w:val="single"/>
              </w:rPr>
              <w:t>20</w:t>
            </w:r>
            <w:r>
              <w:rPr>
                <w:rFonts w:hint="eastAsia" w:ascii="宋体" w:hAnsi="宋体"/>
                <w:b/>
              </w:rPr>
              <w:t>分</w:t>
            </w:r>
          </w:p>
          <w:p>
            <w:pPr>
              <w:jc w:val="left"/>
              <w:rPr>
                <w:rFonts w:ascii="宋体" w:hAnsi="宋体"/>
                <w:b/>
              </w:rPr>
            </w:pPr>
            <w:r>
              <w:rPr>
                <w:rFonts w:hint="eastAsia" w:ascii="宋体" w:hAnsi="宋体"/>
                <w:b/>
              </w:rPr>
              <w:t>其他因素：</w:t>
            </w:r>
            <w:r>
              <w:rPr>
                <w:rFonts w:hint="eastAsia" w:ascii="宋体" w:hAnsi="宋体"/>
                <w:b/>
                <w:u w:val="single"/>
              </w:rPr>
              <w:t>2</w:t>
            </w:r>
            <w:r>
              <w:rPr>
                <w:rFonts w:ascii="宋体" w:hAnsi="宋体"/>
                <w:b/>
                <w:u w:val="single"/>
              </w:rPr>
              <w:t>5</w:t>
            </w:r>
            <w:r>
              <w:rPr>
                <w:rFonts w:hint="eastAsia" w:ascii="宋体" w:hAnsi="宋体"/>
                <w:b/>
              </w:rPr>
              <w:t>分</w:t>
            </w:r>
          </w:p>
          <w:p>
            <w:pPr>
              <w:jc w:val="left"/>
              <w:rPr>
                <w:rFonts w:ascii="宋体" w:hAnsi="宋体"/>
                <w:b/>
              </w:rPr>
            </w:pPr>
          </w:p>
          <w:p>
            <w:pPr>
              <w:jc w:val="left"/>
              <w:rPr>
                <w:rFonts w:ascii="宋体" w:hAnsi="宋体"/>
                <w:b/>
              </w:rPr>
            </w:pPr>
            <w:r>
              <w:rPr>
                <w:rFonts w:hint="eastAsia" w:ascii="宋体" w:hAnsi="宋体"/>
                <w:b/>
              </w:rPr>
              <w:t>第二个信封（报价文件）评分分值构成：</w:t>
            </w:r>
          </w:p>
          <w:p>
            <w:pPr>
              <w:jc w:val="left"/>
              <w:rPr>
                <w:rFonts w:ascii="宋体" w:hAnsi="宋体"/>
                <w:b/>
              </w:rPr>
            </w:pPr>
            <w:r>
              <w:rPr>
                <w:rFonts w:hint="eastAsia" w:ascii="宋体" w:hAnsi="宋体"/>
                <w:b/>
              </w:rPr>
              <w:t>评标价：</w:t>
            </w:r>
            <w:r>
              <w:rPr>
                <w:rFonts w:hint="eastAsia" w:ascii="宋体" w:hAnsi="宋体"/>
                <w:b/>
                <w:u w:val="single"/>
              </w:rPr>
              <w:t>1</w:t>
            </w:r>
            <w:r>
              <w:rPr>
                <w:rFonts w:ascii="宋体" w:hAnsi="宋体"/>
                <w:b/>
                <w:u w:val="single"/>
              </w:rPr>
              <w:t>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rPr>
            </w:pPr>
            <w:r>
              <w:rPr>
                <w:rFonts w:ascii="宋体" w:hAnsi="宋体"/>
              </w:rPr>
              <w:t>2.2.2</w:t>
            </w:r>
          </w:p>
        </w:tc>
        <w:tc>
          <w:tcPr>
            <w:tcW w:w="1134" w:type="dxa"/>
            <w:vAlign w:val="center"/>
          </w:tcPr>
          <w:p>
            <w:pPr>
              <w:jc w:val="center"/>
              <w:rPr>
                <w:rFonts w:ascii="宋体" w:hAnsi="宋体"/>
              </w:rPr>
            </w:pPr>
            <w:r>
              <w:rPr>
                <w:rFonts w:hint="eastAsia" w:ascii="宋体" w:hAnsi="宋体"/>
              </w:rPr>
              <w:t>评标基准价计算方法</w:t>
            </w:r>
          </w:p>
        </w:tc>
        <w:tc>
          <w:tcPr>
            <w:tcW w:w="7648" w:type="dxa"/>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13"/>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rPr>
            </w:pPr>
            <w:r>
              <w:rPr>
                <w:rFonts w:ascii="宋体" w:hAnsi="宋体"/>
              </w:rPr>
              <w:t>2.2.3</w:t>
            </w:r>
          </w:p>
        </w:tc>
        <w:tc>
          <w:tcPr>
            <w:tcW w:w="1134" w:type="dxa"/>
            <w:vAlign w:val="center"/>
          </w:tcPr>
          <w:p>
            <w:pPr>
              <w:jc w:val="center"/>
              <w:rPr>
                <w:rFonts w:ascii="宋体" w:hAnsi="宋体"/>
              </w:rPr>
            </w:pPr>
            <w:r>
              <w:rPr>
                <w:rFonts w:hint="eastAsia" w:ascii="宋体" w:hAnsi="宋体"/>
              </w:rPr>
              <w:t>评标价的偏差率计算公式</w:t>
            </w:r>
          </w:p>
        </w:tc>
        <w:tc>
          <w:tcPr>
            <w:tcW w:w="7648" w:type="dxa"/>
            <w:vAlign w:val="center"/>
          </w:tcPr>
          <w:p>
            <w:pPr>
              <w:jc w:val="left"/>
              <w:rPr>
                <w:rFonts w:ascii="宋体" w:hAnsi="宋体"/>
              </w:rPr>
            </w:pPr>
            <w:r>
              <w:rPr>
                <w:rFonts w:hint="eastAsia" w:ascii="宋体" w:hAnsi="宋体"/>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Cs w:val="21"/>
              </w:rPr>
            </w:pPr>
            <w:r>
              <w:rPr>
                <w:rFonts w:hint="eastAsia" w:ascii="宋体" w:hAnsi="宋体"/>
              </w:rPr>
              <w:t>3</w:t>
            </w:r>
            <w:r>
              <w:rPr>
                <w:rFonts w:ascii="宋体" w:hAnsi="宋体"/>
              </w:rPr>
              <w:t>.6.1</w:t>
            </w:r>
          </w:p>
        </w:tc>
        <w:tc>
          <w:tcPr>
            <w:tcW w:w="1134" w:type="dxa"/>
            <w:vAlign w:val="center"/>
          </w:tcPr>
          <w:p>
            <w:pPr>
              <w:adjustRightInd w:val="0"/>
              <w:snapToGrid w:val="0"/>
              <w:spacing w:line="300" w:lineRule="exact"/>
              <w:jc w:val="center"/>
              <w:rPr>
                <w:rFonts w:ascii="宋体" w:hAnsi="宋体"/>
              </w:rPr>
            </w:pPr>
            <w:r>
              <w:rPr>
                <w:rFonts w:hint="eastAsia" w:ascii="宋体" w:hAnsi="宋体"/>
              </w:rPr>
              <w:t>信息查询</w:t>
            </w:r>
          </w:p>
        </w:tc>
        <w:tc>
          <w:tcPr>
            <w:tcW w:w="7648" w:type="dxa"/>
            <w:vAlign w:val="center"/>
          </w:tcPr>
          <w:p>
            <w:pPr>
              <w:autoSpaceDE w:val="0"/>
              <w:autoSpaceDN w:val="0"/>
              <w:spacing w:line="273" w:lineRule="auto"/>
              <w:rPr>
                <w:rFonts w:ascii="宋体" w:hAnsi="宋体"/>
              </w:rPr>
            </w:pPr>
            <w:r>
              <w:rPr>
                <w:rFonts w:hint="eastAsia" w:ascii="宋体" w:hAnsi="宋体"/>
              </w:rPr>
              <w:t>本款修改为：</w:t>
            </w:r>
          </w:p>
          <w:p>
            <w:pPr>
              <w:autoSpaceDE w:val="0"/>
              <w:autoSpaceDN w:val="0"/>
              <w:spacing w:line="273" w:lineRule="auto"/>
              <w:ind w:firstLine="420" w:firstLineChars="200"/>
              <w:rPr>
                <w:rFonts w:ascii="宋体" w:hAnsi="宋体"/>
              </w:rPr>
            </w:pPr>
            <w:r>
              <w:rPr>
                <w:rFonts w:hint="eastAsia" w:ascii="宋体" w:hAnsi="宋体"/>
              </w:rPr>
              <w:t>（1）投标人名称和资质与</w:t>
            </w:r>
            <w:r>
              <w:rPr>
                <w:rFonts w:hint="eastAsia" w:ascii="宋体" w:hAnsi="宋体"/>
                <w:szCs w:val="21"/>
              </w:rPr>
              <w:t>“全国公路水运工程质量试验检测管理信息系统（https://www.ttiis.cn）”的复核结果一致；</w:t>
            </w:r>
          </w:p>
          <w:p>
            <w:pPr>
              <w:autoSpaceDE w:val="0"/>
              <w:autoSpaceDN w:val="0"/>
              <w:spacing w:line="273" w:lineRule="auto"/>
              <w:ind w:firstLine="420" w:firstLineChars="200"/>
              <w:rPr>
                <w:rFonts w:ascii="宋体" w:hAnsi="宋体"/>
              </w:rPr>
            </w:pPr>
            <w:r>
              <w:rPr>
                <w:rFonts w:hint="eastAsia" w:ascii="宋体" w:hAnsi="宋体"/>
              </w:rPr>
              <w:t>（</w:t>
            </w:r>
            <w:r>
              <w:rPr>
                <w:rFonts w:ascii="宋体" w:hAnsi="宋体"/>
              </w:rPr>
              <w:t>2</w:t>
            </w:r>
            <w:r>
              <w:rPr>
                <w:rFonts w:hint="eastAsia" w:ascii="宋体" w:hAnsi="宋体"/>
              </w:rPr>
              <w:t>）投标人信用情况网页截图内容与在“国家企业信用信息公示系统”中严重违法失信企业名单（不含分公司，事业单位投标人不适用）或在“信用中国”网站中失信被执行人名单、经营异常名录、重大税收违法失信主体名单、政府采购严重违法失信名单（均不含分公司）的复核结果一致。</w:t>
            </w:r>
          </w:p>
          <w:p>
            <w:pPr>
              <w:autoSpaceDE w:val="0"/>
              <w:autoSpaceDN w:val="0"/>
              <w:spacing w:line="273" w:lineRule="auto"/>
              <w:ind w:firstLine="420" w:firstLineChars="200"/>
              <w:rPr>
                <w:rFonts w:ascii="宋体" w:hAnsi="宋体"/>
              </w:rPr>
            </w:pPr>
            <w:r>
              <w:rPr>
                <w:rFonts w:hint="eastAsia" w:ascii="宋体" w:hAnsi="宋体"/>
              </w:rPr>
              <w:t>（3）投标人所附项目负责人试验检测师（或试验检测工程师）的网页截图复印件与</w:t>
            </w:r>
            <w:r>
              <w:rPr>
                <w:rFonts w:hint="eastAsia" w:ascii="宋体" w:hAnsi="宋体"/>
                <w:szCs w:val="21"/>
              </w:rPr>
              <w:t>“全国公路水运工程质量试验检测管理信息系统（https://www.ttiis.cn）”</w:t>
            </w:r>
            <w:r>
              <w:rPr>
                <w:rFonts w:hint="eastAsia" w:ascii="宋体" w:hAnsi="宋体"/>
              </w:rPr>
              <w:t>核查的结果一致。</w:t>
            </w:r>
          </w:p>
          <w:p>
            <w:pPr>
              <w:autoSpaceDE w:val="0"/>
              <w:autoSpaceDN w:val="0"/>
              <w:spacing w:line="273" w:lineRule="auto"/>
              <w:ind w:firstLine="420" w:firstLineChars="200"/>
              <w:rPr>
                <w:rFonts w:ascii="宋体" w:hAnsi="宋体"/>
              </w:rPr>
            </w:pPr>
            <w:r>
              <w:rPr>
                <w:rFonts w:hint="eastAsia" w:ascii="宋体" w:hAnsi="宋体"/>
              </w:rPr>
              <w:t>上述（1）、（2）、（3）项如投标人未提供相关网页截图或所附截图与复核结果不一致，评标委员会应否决其投标。</w:t>
            </w:r>
          </w:p>
          <w:p>
            <w:pPr>
              <w:autoSpaceDE w:val="0"/>
              <w:autoSpaceDN w:val="0"/>
              <w:spacing w:line="273" w:lineRule="auto"/>
              <w:ind w:firstLine="420" w:firstLineChars="200"/>
              <w:rPr>
                <w:rFonts w:ascii="宋体" w:hAnsi="宋体"/>
              </w:rPr>
            </w:pPr>
            <w:r>
              <w:rPr>
                <w:rFonts w:hint="eastAsia" w:ascii="宋体" w:hAnsi="宋体"/>
              </w:rPr>
              <w:t>（4）评标委员会在评标时按照投标人提供的验证方式对电子保函或电子保证保险进行验证。如投标人未提供电子保函或电子保证保险的验证方式，或根据提供的验证方式无法核实的，评标委员会应否决其投标。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606" w:type="dxa"/>
            <w:gridSpan w:val="3"/>
            <w:vAlign w:val="center"/>
          </w:tcPr>
          <w:p>
            <w:pPr>
              <w:spacing w:line="340" w:lineRule="exact"/>
              <w:ind w:right="113"/>
              <w:rPr>
                <w:rFonts w:ascii="宋体" w:hAnsi="宋体"/>
                <w:bCs/>
                <w:szCs w:val="21"/>
              </w:rPr>
            </w:pPr>
            <w:r>
              <w:rPr>
                <w:rFonts w:hint="eastAsia" w:ascii="宋体" w:hAnsi="宋体"/>
                <w:szCs w:val="21"/>
              </w:rPr>
              <w:t>需要补充的其他内容：本项目的施工单位、施工监理单位，或与本项目施工单位或施工监理单位的单位负责人为同一人、或存在参股或者管理关系的不同单位参加本项目的投标的，不再被推荐为中标候选人。投标人中标后不得再承接本项目的施工标段、施工监理标段的试验检测任务。</w:t>
            </w:r>
          </w:p>
        </w:tc>
      </w:tr>
    </w:tbl>
    <w:p/>
    <w:p>
      <w:pPr>
        <w:jc w:val="right"/>
      </w:pPr>
      <w:r>
        <w:br w:type="page"/>
      </w:r>
      <w:r>
        <w:rPr>
          <w:rFonts w:hint="eastAsia"/>
        </w:rPr>
        <w:t>续上表</w:t>
      </w:r>
    </w:p>
    <w:tbl>
      <w:tblPr>
        <w:tblStyle w:val="4"/>
        <w:tblW w:w="948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837"/>
        <w:gridCol w:w="1482"/>
        <w:gridCol w:w="850"/>
        <w:gridCol w:w="4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jc w:val="center"/>
        </w:trPr>
        <w:tc>
          <w:tcPr>
            <w:tcW w:w="977" w:type="dxa"/>
            <w:vAlign w:val="center"/>
          </w:tcPr>
          <w:p>
            <w:pPr>
              <w:autoSpaceDE w:val="0"/>
              <w:autoSpaceDN w:val="0"/>
              <w:spacing w:line="440" w:lineRule="exact"/>
              <w:ind w:right="11"/>
              <w:jc w:val="center"/>
              <w:rPr>
                <w:rFonts w:ascii="宋体" w:hAnsi="宋体" w:cs="宋体"/>
                <w:b/>
                <w:kern w:val="0"/>
                <w:szCs w:val="21"/>
              </w:rPr>
            </w:pPr>
            <w:bookmarkStart w:id="10" w:name="_GoBack"/>
            <w:r>
              <w:rPr>
                <w:rFonts w:hint="eastAsia" w:ascii="宋体" w:hAnsi="宋体" w:cs="宋体"/>
                <w:b/>
                <w:kern w:val="0"/>
                <w:szCs w:val="21"/>
              </w:rPr>
              <w:t>条款号</w:t>
            </w:r>
          </w:p>
        </w:tc>
        <w:tc>
          <w:tcPr>
            <w:tcW w:w="3685" w:type="dxa"/>
            <w:gridSpan w:val="4"/>
            <w:tcBorders>
              <w:righ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评审因素与权重分值</w:t>
            </w:r>
          </w:p>
        </w:tc>
        <w:tc>
          <w:tcPr>
            <w:tcW w:w="4820" w:type="dxa"/>
            <w:vMerge w:val="restart"/>
            <w:tcBorders>
              <w:lef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jc w:val="center"/>
        </w:trPr>
        <w:tc>
          <w:tcPr>
            <w:tcW w:w="97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rPr>
              <w:t>2.2.4(1)</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因素</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评分因素权重分值</w:t>
            </w:r>
          </w:p>
        </w:tc>
        <w:tc>
          <w:tcPr>
            <w:tcW w:w="1482" w:type="dxa"/>
            <w:tcBorders>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各评分因素</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细分项</w:t>
            </w:r>
          </w:p>
        </w:tc>
        <w:tc>
          <w:tcPr>
            <w:tcW w:w="850" w:type="dxa"/>
            <w:tcBorders>
              <w:left w:val="single" w:color="auto" w:sz="4" w:space="0"/>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分值</w:t>
            </w:r>
          </w:p>
        </w:tc>
        <w:tc>
          <w:tcPr>
            <w:tcW w:w="4820"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技术建议书</w:t>
            </w:r>
          </w:p>
        </w:tc>
        <w:tc>
          <w:tcPr>
            <w:tcW w:w="83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45分</w:t>
            </w:r>
          </w:p>
        </w:tc>
        <w:tc>
          <w:tcPr>
            <w:tcW w:w="1482" w:type="dxa"/>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工作大纲</w:t>
            </w:r>
          </w:p>
        </w:tc>
        <w:tc>
          <w:tcPr>
            <w:tcW w:w="850" w:type="dxa"/>
            <w:tcBorders>
              <w:left w:val="single" w:color="auto" w:sz="4" w:space="0"/>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10分</w:t>
            </w:r>
          </w:p>
        </w:tc>
        <w:tc>
          <w:tcPr>
            <w:tcW w:w="4820" w:type="dxa"/>
            <w:tcBorders>
              <w:top w:val="single" w:color="auto" w:sz="4" w:space="0"/>
              <w:left w:val="single" w:color="auto" w:sz="4" w:space="0"/>
            </w:tcBorders>
            <w:vAlign w:val="center"/>
          </w:tcPr>
          <w:p>
            <w:pPr>
              <w:snapToGrid w:val="0"/>
              <w:rPr>
                <w:rFonts w:ascii="宋体" w:hAnsi="宋体" w:cs="宋体"/>
                <w:szCs w:val="21"/>
              </w:rPr>
            </w:pPr>
            <w:r>
              <w:rPr>
                <w:rFonts w:hint="eastAsia" w:ascii="宋体" w:hAnsi="宋体" w:cs="宋体"/>
                <w:szCs w:val="21"/>
              </w:rPr>
              <w:t>欠合理，措施一般</w:t>
            </w:r>
            <w:r>
              <w:rPr>
                <w:rFonts w:ascii="宋体" w:hAnsi="宋体" w:cs="宋体"/>
                <w:szCs w:val="21"/>
              </w:rPr>
              <w:t>6</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合理，可行6-8分；</w:t>
            </w:r>
          </w:p>
          <w:p>
            <w:pPr>
              <w:pStyle w:val="3"/>
              <w:snapToGrid w:val="0"/>
              <w:jc w:val="left"/>
              <w:rPr>
                <w:rFonts w:hAnsi="宋体"/>
                <w:kern w:val="2"/>
                <w:sz w:val="21"/>
                <w:szCs w:val="21"/>
              </w:rPr>
            </w:pPr>
            <w:r>
              <w:rPr>
                <w:rFonts w:hint="eastAsia" w:hAnsi="宋体" w:cs="宋体"/>
                <w:sz w:val="21"/>
                <w:szCs w:val="21"/>
              </w:rPr>
              <w:t>科学先进，措施完善，可操作性强8-10分。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对本项目工作范围和任务理解</w:t>
            </w:r>
          </w:p>
        </w:tc>
        <w:tc>
          <w:tcPr>
            <w:tcW w:w="850"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kern w:val="2"/>
                <w:sz w:val="21"/>
                <w:szCs w:val="21"/>
              </w:rPr>
            </w:pPr>
            <w:r>
              <w:rPr>
                <w:rFonts w:hint="eastAsia" w:hAnsi="宋体" w:cs="宋体"/>
                <w:sz w:val="21"/>
                <w:szCs w:val="21"/>
              </w:rPr>
              <w:t>10分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理解基本准确，思路欠合理6分；</w:t>
            </w:r>
          </w:p>
          <w:p>
            <w:pPr>
              <w:snapToGrid w:val="0"/>
              <w:rPr>
                <w:rFonts w:ascii="宋体" w:hAnsi="宋体" w:cs="宋体"/>
                <w:szCs w:val="21"/>
              </w:rPr>
            </w:pPr>
            <w:r>
              <w:rPr>
                <w:rFonts w:hint="eastAsia" w:ascii="宋体" w:hAnsi="宋体" w:cs="宋体"/>
                <w:szCs w:val="21"/>
              </w:rPr>
              <w:t>理解基本准确，思路一般6-8分；</w:t>
            </w:r>
          </w:p>
          <w:p>
            <w:pPr>
              <w:pStyle w:val="3"/>
              <w:snapToGrid w:val="0"/>
              <w:jc w:val="left"/>
              <w:rPr>
                <w:rFonts w:hAnsi="宋体"/>
                <w:kern w:val="2"/>
                <w:sz w:val="21"/>
                <w:szCs w:val="21"/>
              </w:rPr>
            </w:pPr>
            <w:r>
              <w:rPr>
                <w:rFonts w:hint="eastAsia" w:hAnsi="宋体" w:cs="宋体"/>
                <w:sz w:val="21"/>
                <w:szCs w:val="21"/>
              </w:rPr>
              <w:t>理解准确，思路清晰，全面、合理，符合项目要</w:t>
            </w:r>
            <w:r>
              <w:rPr>
                <w:rFonts w:hint="eastAsia" w:cs="宋体"/>
                <w:sz w:val="21"/>
                <w:szCs w:val="21"/>
              </w:rPr>
              <w:t>求</w:t>
            </w:r>
            <w:r>
              <w:rPr>
                <w:rFonts w:hint="eastAsia" w:hAnsi="宋体" w:cs="宋体"/>
                <w:sz w:val="21"/>
                <w:szCs w:val="21"/>
              </w:rPr>
              <w:t>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质量、进度、安全保证措施</w:t>
            </w:r>
          </w:p>
        </w:tc>
        <w:tc>
          <w:tcPr>
            <w:tcW w:w="850"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措施一般</w:t>
            </w:r>
            <w:r>
              <w:rPr>
                <w:rFonts w:ascii="宋体" w:hAnsi="宋体" w:cs="宋体"/>
                <w:szCs w:val="21"/>
              </w:rPr>
              <w:t>3</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合理，可行</w:t>
            </w:r>
            <w:r>
              <w:rPr>
                <w:rFonts w:ascii="宋体" w:hAnsi="宋体" w:cs="宋体"/>
                <w:szCs w:val="21"/>
              </w:rPr>
              <w:t>3-4</w:t>
            </w:r>
            <w:r>
              <w:rPr>
                <w:rFonts w:hint="eastAsia" w:ascii="宋体" w:hAnsi="宋体" w:cs="宋体"/>
                <w:szCs w:val="21"/>
              </w:rPr>
              <w:t>分；</w:t>
            </w:r>
          </w:p>
          <w:p>
            <w:pPr>
              <w:pStyle w:val="3"/>
              <w:snapToGrid w:val="0"/>
              <w:jc w:val="left"/>
              <w:rPr>
                <w:rFonts w:hAnsi="宋体"/>
                <w:kern w:val="2"/>
                <w:sz w:val="21"/>
                <w:szCs w:val="21"/>
              </w:rPr>
            </w:pPr>
            <w:r>
              <w:rPr>
                <w:rFonts w:hint="eastAsia" w:hAnsi="宋体" w:cs="宋体"/>
                <w:sz w:val="21"/>
                <w:szCs w:val="21"/>
              </w:rPr>
              <w:t>科学先进、严密</w:t>
            </w:r>
            <w:r>
              <w:rPr>
                <w:rFonts w:hAnsi="宋体" w:cs="宋体"/>
                <w:sz w:val="21"/>
                <w:szCs w:val="21"/>
              </w:rPr>
              <w:t>4-5</w:t>
            </w:r>
            <w:r>
              <w:rPr>
                <w:rFonts w:hint="eastAsia" w:hAnsi="宋体" w:cs="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质量检测工作流程</w:t>
            </w:r>
          </w:p>
        </w:tc>
        <w:tc>
          <w:tcPr>
            <w:tcW w:w="850"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Cs w:val="21"/>
              </w:rPr>
            </w:pPr>
            <w:r>
              <w:rPr>
                <w:rFonts w:hAnsi="宋体" w:cs="宋体"/>
                <w:sz w:val="21"/>
                <w:szCs w:val="21"/>
              </w:rPr>
              <w:t>5</w:t>
            </w:r>
            <w:r>
              <w:rPr>
                <w:rFonts w:hint="eastAsia" w:hAnsi="宋体" w:cs="宋体"/>
                <w:sz w:val="21"/>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欠合理，措施一般</w:t>
            </w:r>
            <w:r>
              <w:rPr>
                <w:rFonts w:ascii="宋体" w:hAnsi="宋体" w:cs="宋体"/>
                <w:szCs w:val="21"/>
              </w:rPr>
              <w:t>3</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合理，可行</w:t>
            </w:r>
            <w:r>
              <w:rPr>
                <w:rFonts w:ascii="宋体" w:hAnsi="宋体" w:cs="宋体"/>
                <w:szCs w:val="21"/>
              </w:rPr>
              <w:t>3-4</w:t>
            </w:r>
            <w:r>
              <w:rPr>
                <w:rFonts w:hint="eastAsia" w:ascii="宋体" w:hAnsi="宋体" w:cs="宋体"/>
                <w:szCs w:val="21"/>
              </w:rPr>
              <w:t>分；</w:t>
            </w:r>
          </w:p>
          <w:p>
            <w:pPr>
              <w:pStyle w:val="3"/>
              <w:snapToGrid w:val="0"/>
              <w:jc w:val="left"/>
              <w:rPr>
                <w:rFonts w:hAnsi="宋体"/>
                <w:kern w:val="2"/>
                <w:sz w:val="21"/>
                <w:szCs w:val="21"/>
              </w:rPr>
            </w:pPr>
            <w:r>
              <w:rPr>
                <w:rFonts w:hint="eastAsia" w:hAnsi="宋体" w:cs="宋体"/>
                <w:sz w:val="21"/>
                <w:szCs w:val="21"/>
              </w:rPr>
              <w:t>科学先进，措施完善，可操作性强</w:t>
            </w:r>
            <w:r>
              <w:rPr>
                <w:rFonts w:hAnsi="宋体" w:cs="宋体"/>
                <w:sz w:val="21"/>
                <w:szCs w:val="21"/>
              </w:rPr>
              <w:t>4-5</w:t>
            </w:r>
            <w:r>
              <w:rPr>
                <w:rFonts w:hint="eastAsia" w:hAnsi="宋体" w:cs="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对可能发现出的问题类型提出切实可行的处理建议和维修方案</w:t>
            </w:r>
          </w:p>
        </w:tc>
        <w:tc>
          <w:tcPr>
            <w:tcW w:w="850" w:type="dxa"/>
            <w:tcBorders>
              <w:left w:val="single" w:color="auto" w:sz="4" w:space="0"/>
              <w:right w:val="single" w:color="auto" w:sz="4" w:space="0"/>
            </w:tcBorders>
            <w:vAlign w:val="center"/>
          </w:tcPr>
          <w:p>
            <w:pPr>
              <w:pStyle w:val="3"/>
              <w:snapToGrid w:val="0"/>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欠合理，措施一般</w:t>
            </w:r>
            <w:r>
              <w:rPr>
                <w:rFonts w:ascii="宋体" w:hAnsi="宋体" w:cs="宋体"/>
                <w:szCs w:val="21"/>
              </w:rPr>
              <w:t>3</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合理，可行</w:t>
            </w:r>
            <w:r>
              <w:rPr>
                <w:rFonts w:ascii="宋体" w:hAnsi="宋体" w:cs="宋体"/>
                <w:szCs w:val="21"/>
              </w:rPr>
              <w:t>3-4</w:t>
            </w:r>
            <w:r>
              <w:rPr>
                <w:rFonts w:hint="eastAsia" w:ascii="宋体" w:hAnsi="宋体" w:cs="宋体"/>
                <w:szCs w:val="21"/>
              </w:rPr>
              <w:t>分；</w:t>
            </w:r>
          </w:p>
          <w:p>
            <w:pPr>
              <w:pStyle w:val="3"/>
              <w:snapToGrid w:val="0"/>
              <w:jc w:val="left"/>
              <w:rPr>
                <w:rFonts w:hAnsi="宋体"/>
                <w:kern w:val="2"/>
                <w:sz w:val="21"/>
                <w:szCs w:val="21"/>
              </w:rPr>
            </w:pPr>
            <w:r>
              <w:rPr>
                <w:rFonts w:hint="eastAsia" w:hAnsi="宋体" w:cs="宋体"/>
                <w:sz w:val="21"/>
                <w:szCs w:val="21"/>
              </w:rPr>
              <w:t>科学先进，措施完善，可操作性强</w:t>
            </w:r>
            <w:r>
              <w:rPr>
                <w:rFonts w:hAnsi="宋体" w:cs="宋体"/>
                <w:sz w:val="21"/>
                <w:szCs w:val="21"/>
              </w:rPr>
              <w:t>4-5</w:t>
            </w:r>
            <w:r>
              <w:rPr>
                <w:rFonts w:hint="eastAsia" w:hAnsi="宋体" w:cs="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承诺出具的检测（监测）成果及后续服务</w:t>
            </w:r>
          </w:p>
        </w:tc>
        <w:tc>
          <w:tcPr>
            <w:tcW w:w="850" w:type="dxa"/>
            <w:tcBorders>
              <w:left w:val="single" w:color="auto" w:sz="4" w:space="0"/>
              <w:right w:val="single" w:color="auto" w:sz="4" w:space="0"/>
            </w:tcBorders>
            <w:vAlign w:val="center"/>
          </w:tcPr>
          <w:p>
            <w:pPr>
              <w:pStyle w:val="3"/>
              <w:snapToGrid w:val="0"/>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检测成果符合国家规范要求，后续服务基本完善</w:t>
            </w:r>
            <w:r>
              <w:rPr>
                <w:rFonts w:ascii="宋体" w:hAnsi="宋体" w:cs="宋体"/>
                <w:szCs w:val="21"/>
              </w:rPr>
              <w:t>3</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检测成果符合国家规范要求，后续服务较完善</w:t>
            </w:r>
            <w:r>
              <w:rPr>
                <w:rFonts w:ascii="宋体" w:hAnsi="宋体" w:cs="宋体"/>
                <w:szCs w:val="21"/>
              </w:rPr>
              <w:t>3-4</w:t>
            </w:r>
            <w:r>
              <w:rPr>
                <w:rFonts w:hint="eastAsia" w:ascii="宋体" w:hAnsi="宋体" w:cs="宋体"/>
                <w:szCs w:val="21"/>
              </w:rPr>
              <w:t>分；</w:t>
            </w:r>
          </w:p>
          <w:p>
            <w:pPr>
              <w:pStyle w:val="3"/>
              <w:snapToGrid w:val="0"/>
              <w:jc w:val="left"/>
              <w:rPr>
                <w:rFonts w:hAnsi="宋体"/>
                <w:kern w:val="2"/>
                <w:sz w:val="21"/>
                <w:szCs w:val="21"/>
              </w:rPr>
            </w:pPr>
            <w:r>
              <w:rPr>
                <w:rFonts w:hint="eastAsia" w:hAnsi="宋体" w:cs="宋体"/>
                <w:sz w:val="21"/>
                <w:szCs w:val="21"/>
              </w:rPr>
              <w:t>检测成果符合国家规范要求，后续服务完善</w:t>
            </w:r>
            <w:r>
              <w:rPr>
                <w:rFonts w:hAnsi="宋体" w:cs="宋体"/>
                <w:sz w:val="21"/>
                <w:szCs w:val="21"/>
              </w:rPr>
              <w:t>4</w:t>
            </w:r>
            <w:r>
              <w:rPr>
                <w:rFonts w:hint="eastAsia" w:hAnsi="宋体" w:cs="宋体"/>
                <w:sz w:val="21"/>
                <w:szCs w:val="21"/>
              </w:rPr>
              <w:t>-</w:t>
            </w:r>
            <w:r>
              <w:rPr>
                <w:rFonts w:hAnsi="宋体" w:cs="宋体"/>
                <w:sz w:val="21"/>
                <w:szCs w:val="21"/>
              </w:rPr>
              <w:t>5</w:t>
            </w:r>
            <w:r>
              <w:rPr>
                <w:rFonts w:hint="eastAsia" w:hAnsi="宋体" w:cs="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重点、难点分析</w:t>
            </w:r>
          </w:p>
        </w:tc>
        <w:tc>
          <w:tcPr>
            <w:tcW w:w="850" w:type="dxa"/>
            <w:tcBorders>
              <w:left w:val="single" w:color="auto" w:sz="4" w:space="0"/>
              <w:right w:val="single" w:color="auto" w:sz="4" w:space="0"/>
            </w:tcBorders>
            <w:vAlign w:val="center"/>
          </w:tcPr>
          <w:p>
            <w:pPr>
              <w:pStyle w:val="3"/>
              <w:snapToGrid w:val="0"/>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欠合理3分；</w:t>
            </w:r>
          </w:p>
          <w:p>
            <w:pPr>
              <w:snapToGrid w:val="0"/>
              <w:rPr>
                <w:rFonts w:ascii="宋体" w:hAnsi="宋体" w:cs="宋体"/>
                <w:szCs w:val="21"/>
              </w:rPr>
            </w:pPr>
            <w:r>
              <w:rPr>
                <w:rFonts w:hint="eastAsia" w:ascii="宋体" w:hAnsi="宋体" w:cs="宋体"/>
                <w:szCs w:val="21"/>
              </w:rPr>
              <w:t>合理，可行</w:t>
            </w:r>
            <w:r>
              <w:rPr>
                <w:rFonts w:ascii="宋体" w:hAnsi="宋体" w:cs="宋体"/>
                <w:szCs w:val="21"/>
              </w:rPr>
              <w:t>3</w:t>
            </w:r>
            <w:r>
              <w:rPr>
                <w:rFonts w:hint="eastAsia" w:ascii="宋体" w:hAnsi="宋体" w:cs="宋体"/>
                <w:szCs w:val="21"/>
              </w:rPr>
              <w:t>-</w:t>
            </w:r>
            <w:r>
              <w:rPr>
                <w:rFonts w:ascii="宋体" w:hAnsi="宋体" w:cs="宋体"/>
                <w:szCs w:val="21"/>
              </w:rPr>
              <w:t>4</w:t>
            </w:r>
            <w:r>
              <w:rPr>
                <w:rFonts w:hint="eastAsia" w:ascii="宋体" w:hAnsi="宋体" w:cs="宋体"/>
                <w:szCs w:val="21"/>
              </w:rPr>
              <w:t>分；</w:t>
            </w:r>
          </w:p>
          <w:p>
            <w:pPr>
              <w:snapToGrid w:val="0"/>
              <w:jc w:val="left"/>
              <w:rPr>
                <w:rFonts w:ascii="宋体" w:hAnsi="宋体"/>
                <w:szCs w:val="21"/>
              </w:rPr>
            </w:pPr>
            <w:r>
              <w:rPr>
                <w:rFonts w:hint="eastAsia" w:ascii="宋体" w:hAnsi="宋体" w:cs="宋体"/>
                <w:szCs w:val="21"/>
              </w:rPr>
              <w:t>科学先进，措施完善，可操作性强</w:t>
            </w:r>
            <w:r>
              <w:rPr>
                <w:rFonts w:ascii="宋体" w:hAnsi="宋体" w:cs="宋体"/>
                <w:szCs w:val="21"/>
              </w:rPr>
              <w:t>4</w:t>
            </w:r>
            <w:r>
              <w:rPr>
                <w:rFonts w:hint="eastAsia" w:ascii="宋体" w:hAnsi="宋体" w:cs="宋体"/>
                <w:szCs w:val="21"/>
              </w:rPr>
              <w:t>-</w:t>
            </w:r>
            <w:r>
              <w:rPr>
                <w:rFonts w:ascii="宋体" w:hAnsi="宋体" w:cs="宋体"/>
                <w:szCs w:val="21"/>
              </w:rPr>
              <w:t>5</w:t>
            </w:r>
            <w:r>
              <w:rPr>
                <w:rFonts w:hint="eastAsia" w:ascii="宋体" w:hAnsi="宋体" w:cs="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8" w:hRule="atLeast"/>
          <w:jc w:val="center"/>
        </w:trPr>
        <w:tc>
          <w:tcPr>
            <w:tcW w:w="977" w:type="dxa"/>
            <w:vAlign w:val="center"/>
          </w:tcPr>
          <w:p>
            <w:pPr>
              <w:autoSpaceDE w:val="0"/>
              <w:autoSpaceDN w:val="0"/>
              <w:snapToGrid w:val="0"/>
              <w:ind w:right="11"/>
              <w:jc w:val="center"/>
              <w:rPr>
                <w:rFonts w:ascii="宋体" w:hAnsi="宋体" w:cs="宋体"/>
                <w:kern w:val="0"/>
                <w:szCs w:val="21"/>
              </w:rPr>
            </w:pPr>
            <w:r>
              <w:rPr>
                <w:rFonts w:hint="eastAsia" w:ascii="宋体" w:hAnsi="宋体"/>
              </w:rPr>
              <w:t>2.2.4(</w:t>
            </w:r>
            <w:r>
              <w:rPr>
                <w:rFonts w:ascii="宋体" w:hAnsi="宋体"/>
              </w:rPr>
              <w:t>2</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主要人员</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20分</w:t>
            </w:r>
          </w:p>
        </w:tc>
        <w:tc>
          <w:tcPr>
            <w:tcW w:w="7152" w:type="dxa"/>
            <w:gridSpan w:val="3"/>
            <w:vAlign w:val="center"/>
          </w:tcPr>
          <w:p>
            <w:pPr>
              <w:pStyle w:val="3"/>
              <w:spacing w:line="300" w:lineRule="exact"/>
              <w:rPr>
                <w:rFonts w:hAnsi="宋体"/>
                <w:kern w:val="2"/>
                <w:sz w:val="21"/>
                <w:szCs w:val="21"/>
              </w:rPr>
            </w:pPr>
            <w:r>
              <w:rPr>
                <w:rFonts w:hint="eastAsia" w:hAnsi="宋体"/>
                <w:szCs w:val="21"/>
              </w:rPr>
              <w:t>项</w:t>
            </w:r>
            <w:r>
              <w:rPr>
                <w:rFonts w:hint="eastAsia" w:hAnsi="宋体"/>
                <w:kern w:val="2"/>
                <w:sz w:val="21"/>
                <w:szCs w:val="21"/>
              </w:rPr>
              <w:t>目负责人满足资格审查条件（项目负责人最低要求）得</w:t>
            </w:r>
            <w:r>
              <w:rPr>
                <w:rFonts w:hAnsi="宋体"/>
                <w:kern w:val="2"/>
                <w:sz w:val="21"/>
                <w:szCs w:val="21"/>
              </w:rPr>
              <w:t>12</w:t>
            </w:r>
            <w:r>
              <w:rPr>
                <w:rFonts w:hint="eastAsia" w:hAnsi="宋体"/>
                <w:kern w:val="2"/>
                <w:sz w:val="21"/>
                <w:szCs w:val="21"/>
              </w:rPr>
              <w:t>分。</w:t>
            </w:r>
          </w:p>
          <w:p>
            <w:pPr>
              <w:pStyle w:val="3"/>
              <w:spacing w:line="300" w:lineRule="exact"/>
              <w:rPr>
                <w:rFonts w:hAnsi="宋体"/>
                <w:szCs w:val="21"/>
              </w:rPr>
            </w:pPr>
            <w:r>
              <w:rPr>
                <w:rFonts w:hint="eastAsia" w:hAnsi="宋体"/>
                <w:kern w:val="2"/>
                <w:sz w:val="21"/>
                <w:szCs w:val="21"/>
              </w:rPr>
              <w:t>项目负责人每增加一项满足资格审查条件（项目负责人最低要求）的业绩加8分，最多加8分。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25" w:hRule="exact"/>
          <w:jc w:val="center"/>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3</w:t>
            </w:r>
            <w:r>
              <w:rPr>
                <w:rFonts w:hint="eastAsia" w:ascii="宋体" w:hAnsi="宋体"/>
              </w:rPr>
              <w:t>)</w:t>
            </w:r>
          </w:p>
        </w:tc>
        <w:tc>
          <w:tcPr>
            <w:tcW w:w="516" w:type="dxa"/>
            <w:vAlign w:val="center"/>
          </w:tcPr>
          <w:p>
            <w:pPr>
              <w:autoSpaceDE w:val="0"/>
              <w:autoSpaceDN w:val="0"/>
              <w:spacing w:line="360" w:lineRule="exact"/>
              <w:jc w:val="center"/>
              <w:rPr>
                <w:rFonts w:ascii="宋体" w:hAnsi="宋体"/>
                <w:kern w:val="0"/>
                <w:szCs w:val="21"/>
              </w:rPr>
            </w:pPr>
            <w:r>
              <w:rPr>
                <w:rFonts w:hint="eastAsia" w:ascii="宋体" w:hAnsi="宋体"/>
                <w:kern w:val="0"/>
                <w:szCs w:val="21"/>
              </w:rPr>
              <w:t>评标价</w:t>
            </w:r>
          </w:p>
        </w:tc>
        <w:tc>
          <w:tcPr>
            <w:tcW w:w="837" w:type="dxa"/>
            <w:vAlign w:val="center"/>
          </w:tcPr>
          <w:p>
            <w:pPr>
              <w:autoSpaceDE w:val="0"/>
              <w:autoSpaceDN w:val="0"/>
              <w:spacing w:line="192" w:lineRule="exact"/>
              <w:ind w:left="2" w:right="2"/>
              <w:jc w:val="center"/>
              <w:rPr>
                <w:rFonts w:ascii="宋体" w:hAnsi="宋体"/>
                <w:kern w:val="0"/>
                <w:szCs w:val="21"/>
              </w:rPr>
            </w:pPr>
            <w:r>
              <w:rPr>
                <w:rFonts w:hint="eastAsia" w:ascii="宋体" w:hAnsi="宋体"/>
                <w:kern w:val="0"/>
                <w:szCs w:val="21"/>
              </w:rPr>
              <w:t>10分</w:t>
            </w:r>
          </w:p>
        </w:tc>
        <w:tc>
          <w:tcPr>
            <w:tcW w:w="7152" w:type="dxa"/>
            <w:gridSpan w:val="3"/>
            <w:vAlign w:val="center"/>
          </w:tcPr>
          <w:p>
            <w:pPr>
              <w:spacing w:line="360" w:lineRule="exact"/>
              <w:rPr>
                <w:rFonts w:ascii="宋体" w:hAnsi="宋体"/>
                <w:szCs w:val="21"/>
              </w:rPr>
            </w:pPr>
            <w:r>
              <w:rPr>
                <w:rFonts w:hint="eastAsia" w:ascii="宋体" w:hAnsi="宋体"/>
                <w:szCs w:val="21"/>
              </w:rPr>
              <w:t>评标价得分计算公式：</w:t>
            </w:r>
          </w:p>
          <w:p>
            <w:pPr>
              <w:spacing w:line="360" w:lineRule="exact"/>
              <w:rPr>
                <w:rFonts w:ascii="宋体" w:hAnsi="宋体"/>
                <w:szCs w:val="21"/>
              </w:rPr>
            </w:pPr>
            <w:r>
              <w:rPr>
                <w:rFonts w:hint="eastAsia" w:ascii="宋体" w:hAnsi="宋体"/>
                <w:szCs w:val="21"/>
              </w:rPr>
              <w:t>（1）如果投标人的评标价＞评标基准价，则评标价得分=F-偏差率×100×E1；</w:t>
            </w:r>
          </w:p>
          <w:p>
            <w:pPr>
              <w:spacing w:line="360" w:lineRule="exact"/>
              <w:rPr>
                <w:rFonts w:ascii="宋体" w:hAnsi="宋体"/>
                <w:szCs w:val="21"/>
              </w:rPr>
            </w:pPr>
            <w:r>
              <w:rPr>
                <w:rFonts w:hint="eastAsia" w:ascii="宋体" w:hAnsi="宋体"/>
                <w:szCs w:val="21"/>
              </w:rPr>
              <w:t>（2）如果投标人的评标价≤评标基准价，则评标价得分=F+偏差率×100×E2。</w:t>
            </w:r>
          </w:p>
          <w:p>
            <w:pPr>
              <w:pStyle w:val="3"/>
              <w:spacing w:line="360" w:lineRule="exact"/>
              <w:rPr>
                <w:rFonts w:hAnsi="宋体"/>
                <w:kern w:val="2"/>
                <w:sz w:val="21"/>
                <w:szCs w:val="21"/>
              </w:rPr>
            </w:pPr>
            <w:r>
              <w:rPr>
                <w:rFonts w:hint="eastAsia" w:hAnsi="宋体"/>
                <w:kern w:val="2"/>
                <w:sz w:val="21"/>
                <w:szCs w:val="21"/>
              </w:rPr>
              <w:t>其中，F=10；E1=0.2；E2=0.1；评标价最低得分为0分。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9" w:hRule="atLeast"/>
          <w:jc w:val="center"/>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4</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其他因素</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业绩</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5</w:t>
            </w:r>
            <w:r>
              <w:rPr>
                <w:rFonts w:hint="eastAsia" w:ascii="宋体" w:hAnsi="宋体" w:cs="宋体"/>
                <w:kern w:val="0"/>
                <w:szCs w:val="21"/>
              </w:rPr>
              <w:t>分</w:t>
            </w:r>
          </w:p>
        </w:tc>
        <w:tc>
          <w:tcPr>
            <w:tcW w:w="7152" w:type="dxa"/>
            <w:gridSpan w:val="3"/>
            <w:vAlign w:val="center"/>
          </w:tcPr>
          <w:p>
            <w:pPr>
              <w:rPr>
                <w:rFonts w:ascii="宋体" w:hAnsi="宋体"/>
                <w:szCs w:val="21"/>
              </w:rPr>
            </w:pPr>
            <w:r>
              <w:rPr>
                <w:rFonts w:hint="eastAsia" w:ascii="宋体" w:hAnsi="宋体"/>
                <w:szCs w:val="21"/>
              </w:rPr>
              <w:t>投标人满足资格审查条件（业绩最低要求）得</w:t>
            </w:r>
            <w:r>
              <w:rPr>
                <w:rFonts w:ascii="宋体" w:hAnsi="宋体"/>
                <w:szCs w:val="21"/>
              </w:rPr>
              <w:t>15</w:t>
            </w:r>
            <w:r>
              <w:rPr>
                <w:rFonts w:hint="eastAsia" w:ascii="宋体" w:hAnsi="宋体"/>
                <w:szCs w:val="21"/>
              </w:rPr>
              <w:t>分。</w:t>
            </w:r>
          </w:p>
          <w:p>
            <w:pPr>
              <w:autoSpaceDE w:val="0"/>
              <w:autoSpaceDN w:val="0"/>
              <w:spacing w:line="360" w:lineRule="exact"/>
              <w:ind w:left="11" w:right="150"/>
              <w:rPr>
                <w:rFonts w:ascii="宋体" w:hAnsi="宋体"/>
                <w:szCs w:val="21"/>
              </w:rPr>
            </w:pPr>
            <w:r>
              <w:rPr>
                <w:rFonts w:hint="eastAsia" w:ascii="宋体" w:hAnsi="宋体" w:cs="宋体"/>
                <w:kern w:val="0"/>
                <w:szCs w:val="21"/>
              </w:rPr>
              <w:t>投标人</w:t>
            </w:r>
            <w:r>
              <w:rPr>
                <w:rFonts w:hint="eastAsia" w:ascii="宋体" w:hAnsi="宋体"/>
                <w:szCs w:val="21"/>
              </w:rPr>
              <w:t>每增加一项满足资格审查条件（业绩最低要求）的业绩加</w:t>
            </w:r>
            <w:r>
              <w:rPr>
                <w:rFonts w:ascii="宋体" w:hAnsi="宋体"/>
                <w:szCs w:val="21"/>
              </w:rPr>
              <w:t>5</w:t>
            </w:r>
            <w:r>
              <w:rPr>
                <w:rFonts w:hint="eastAsia" w:ascii="宋体" w:hAnsi="宋体"/>
                <w:szCs w:val="21"/>
              </w:rPr>
              <w:t>分，最多加</w:t>
            </w:r>
            <w:r>
              <w:rPr>
                <w:rFonts w:ascii="宋体" w:hAnsi="宋体"/>
                <w:szCs w:val="21"/>
              </w:rPr>
              <w:t>10</w:t>
            </w:r>
            <w:r>
              <w:rPr>
                <w:rFonts w:hint="eastAsia" w:ascii="宋体" w:hAnsi="宋体"/>
                <w:szCs w:val="21"/>
              </w:rPr>
              <w:t>分。</w:t>
            </w:r>
          </w:p>
        </w:tc>
      </w:tr>
      <w:bookmarkEnd w:id="10"/>
    </w:tbl>
    <w:p>
      <w:pPr>
        <w:rPr>
          <w:rFonts w:ascii="宋体" w:hAnsi="宋体"/>
          <w:kern w:val="0"/>
          <w:sz w:val="20"/>
          <w:szCs w:val="20"/>
        </w:rPr>
      </w:pPr>
      <w:r>
        <w:rPr>
          <w:rFonts w:hint="eastAsia" w:ascii="宋体" w:hAnsi="宋体"/>
          <w:kern w:val="0"/>
          <w:sz w:val="20"/>
          <w:szCs w:val="20"/>
        </w:rPr>
        <w:t>注：1、评审因素得分应以评标委员会各成员的打分平均值确定。</w:t>
      </w:r>
    </w:p>
    <w:p>
      <w:pPr>
        <w:ind w:firstLine="400" w:firstLineChars="200"/>
        <w:rPr>
          <w:rFonts w:ascii="宋体" w:hAnsi="宋体"/>
          <w:kern w:val="0"/>
          <w:sz w:val="20"/>
          <w:szCs w:val="20"/>
        </w:rPr>
      </w:pPr>
      <w:r>
        <w:rPr>
          <w:rFonts w:hint="eastAsia" w:ascii="宋体" w:hAnsi="宋体"/>
          <w:kern w:val="0"/>
          <w:sz w:val="20"/>
          <w:szCs w:val="20"/>
        </w:rPr>
        <w:t>2、技术建议书各评分因素细分项的细分项缺项则该项得0分。</w:t>
      </w:r>
    </w:p>
    <w:p>
      <w:pPr>
        <w:ind w:firstLine="400" w:firstLineChars="200"/>
        <w:rPr>
          <w:rFonts w:ascii="宋体" w:hAnsi="宋体"/>
          <w:kern w:val="0"/>
          <w:sz w:val="20"/>
          <w:szCs w:val="20"/>
        </w:rPr>
      </w:pPr>
      <w:r>
        <w:rPr>
          <w:rFonts w:hint="eastAsia" w:ascii="宋体" w:hAnsi="宋体"/>
          <w:kern w:val="0"/>
          <w:sz w:val="20"/>
          <w:szCs w:val="20"/>
        </w:rPr>
        <w:t>3、技术建议书评分时保留1位小数，评标价得分计算时保留两位小数。</w:t>
      </w:r>
    </w:p>
    <w:bookmarkEnd w:id="8"/>
    <w:p>
      <w:pPr>
        <w:widowControl/>
        <w:jc w:val="left"/>
        <w:rPr>
          <w:rFonts w:ascii="宋体" w:hAnsi="宋体"/>
          <w:kern w:val="0"/>
          <w:sz w:val="20"/>
          <w:szCs w:val="20"/>
        </w:rPr>
      </w:pPr>
      <w:r>
        <w:rPr>
          <w:rFonts w:ascii="宋体" w:hAnsi="宋体"/>
          <w:kern w:val="0"/>
          <w:sz w:val="20"/>
          <w:szCs w:val="20"/>
        </w:rPr>
        <w:br w:type="page"/>
      </w:r>
    </w:p>
    <w:p>
      <w:pPr>
        <w:pStyle w:val="2"/>
        <w:snapToGrid w:val="0"/>
        <w:spacing w:before="156" w:beforeLines="50" w:after="156" w:afterLines="50" w:line="240" w:lineRule="auto"/>
        <w:rPr>
          <w:rFonts w:ascii="宋体" w:hAnsi="宋体"/>
          <w:sz w:val="24"/>
          <w:szCs w:val="24"/>
        </w:rPr>
      </w:pPr>
      <w:bookmarkStart w:id="9" w:name="_Toc147926222"/>
      <w:r>
        <w:rPr>
          <w:rFonts w:hint="eastAsia" w:ascii="宋体" w:hAnsi="宋体"/>
          <w:sz w:val="24"/>
          <w:szCs w:val="24"/>
        </w:rPr>
        <w:t>附件3：子项目情况</w:t>
      </w:r>
      <w:bookmarkEnd w:id="9"/>
    </w:p>
    <w:p>
      <w:pPr>
        <w:autoSpaceDE w:val="0"/>
        <w:autoSpaceDN w:val="0"/>
        <w:adjustRightInd w:val="0"/>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子项目1：承德分公司2023年监控系统改造工程（委托人：河北高速公路集团有限公司承德分公司）</w:t>
      </w:r>
    </w:p>
    <w:p>
      <w:pPr>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工程内容：将承围支线大庙、前营子及李家营2号隧道和京承段隧道内模拟摄像机全部改造为高清网络摄像机，共计305套，编码器升级为工业以太网交换机，配置相关磁盘阵列、视频事件分析系统、高清解码器、视频转分发服务器及其配套的光电缆。对90处事故多发路段增设高清网络摄像机。</w:t>
      </w:r>
    </w:p>
    <w:p>
      <w:pPr>
        <w:autoSpaceDE w:val="0"/>
        <w:autoSpaceDN w:val="0"/>
        <w:adjustRightInd w:val="0"/>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子项目</w:t>
      </w:r>
      <w:r>
        <w:rPr>
          <w:rFonts w:ascii="宋体" w:hAnsi="宋体" w:cs="宋体"/>
          <w:b/>
          <w:kern w:val="0"/>
          <w:sz w:val="24"/>
        </w:rPr>
        <w:t>2</w:t>
      </w:r>
      <w:r>
        <w:rPr>
          <w:rFonts w:hint="eastAsia" w:ascii="宋体" w:hAnsi="宋体" w:cs="宋体"/>
          <w:b/>
          <w:kern w:val="0"/>
          <w:sz w:val="24"/>
        </w:rPr>
        <w:t>：承德分公司承朝高速2023年火灾报警系统升级改造工程（隧道品质提升）（委托人：河北高速公路集团有限公司承德分公司）</w:t>
      </w:r>
    </w:p>
    <w:p>
      <w:pPr>
        <w:autoSpaceDE w:val="0"/>
        <w:autoSpaceDN w:val="0"/>
        <w:adjustRightInd w:val="0"/>
        <w:snapToGrid w:val="0"/>
        <w:spacing w:line="360" w:lineRule="auto"/>
        <w:ind w:firstLine="480" w:firstLineChars="200"/>
        <w:jc w:val="left"/>
        <w:rPr>
          <w:rFonts w:ascii="宋体" w:hAnsi="宋体" w:cs="宋体"/>
          <w:b/>
          <w:kern w:val="0"/>
          <w:sz w:val="24"/>
        </w:rPr>
      </w:pPr>
      <w:r>
        <w:rPr>
          <w:rFonts w:hint="eastAsia" w:ascii="宋体" w:hAnsi="宋体" w:cs="宋体"/>
          <w:bCs/>
          <w:kern w:val="0"/>
          <w:sz w:val="24"/>
        </w:rPr>
        <w:t>工程内容：对小杨树沟等7条隧道火灾探测报警系统由感温光纤探测改为双波长探测方式。包括拆除原有不可利旧设备，配置相关火灾报警工作站，火灾报警控制器，双波长火焰探测器，洞内声光报警器等。</w:t>
      </w:r>
    </w:p>
    <w:p>
      <w:pPr>
        <w:autoSpaceDE w:val="0"/>
        <w:autoSpaceDN w:val="0"/>
        <w:adjustRightInd w:val="0"/>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子项目</w:t>
      </w:r>
      <w:r>
        <w:rPr>
          <w:rFonts w:ascii="宋体" w:hAnsi="宋体" w:cs="宋体"/>
          <w:b/>
          <w:kern w:val="0"/>
          <w:sz w:val="24"/>
        </w:rPr>
        <w:t>3</w:t>
      </w:r>
      <w:r>
        <w:rPr>
          <w:rFonts w:hint="eastAsia" w:ascii="宋体" w:hAnsi="宋体" w:cs="宋体"/>
          <w:b/>
          <w:kern w:val="0"/>
          <w:sz w:val="24"/>
        </w:rPr>
        <w:t>：张涿高速公路2023年北龙门、南峪、李家铺隧道照明灯具更换工程（委托人：河北高速公路集团有限公司张涿分公司）</w:t>
      </w:r>
    </w:p>
    <w:p>
      <w:pPr>
        <w:autoSpaceDE w:val="0"/>
        <w:autoSpaceDN w:val="0"/>
        <w:adjustRightInd w:val="0"/>
        <w:snapToGrid w:val="0"/>
        <w:spacing w:line="360" w:lineRule="auto"/>
        <w:ind w:firstLine="480" w:firstLineChars="200"/>
        <w:jc w:val="left"/>
        <w:rPr>
          <w:rFonts w:ascii="宋体" w:hAnsi="宋体" w:cs="宋体"/>
          <w:b/>
          <w:kern w:val="0"/>
          <w:sz w:val="24"/>
        </w:rPr>
      </w:pPr>
      <w:r>
        <w:rPr>
          <w:rFonts w:hint="eastAsia" w:ascii="宋体" w:hAnsi="宋体" w:cs="宋体"/>
          <w:bCs/>
          <w:kern w:val="0"/>
          <w:sz w:val="24"/>
        </w:rPr>
        <w:t>工程内容：对北龙门、南峪、李家铺隧道原有照明灯具，采用高光效节能型LED灯具点对点更换。增设无极调光控制系统，更换破损及损坏的电缆及配套设施。</w:t>
      </w:r>
    </w:p>
    <w:p>
      <w:pPr>
        <w:autoSpaceDE w:val="0"/>
        <w:autoSpaceDN w:val="0"/>
        <w:adjustRightInd w:val="0"/>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子项目</w:t>
      </w:r>
      <w:r>
        <w:rPr>
          <w:rFonts w:ascii="宋体" w:hAnsi="宋体" w:cs="宋体"/>
          <w:b/>
          <w:kern w:val="0"/>
          <w:sz w:val="24"/>
        </w:rPr>
        <w:t>4</w:t>
      </w:r>
      <w:r>
        <w:rPr>
          <w:rFonts w:hint="eastAsia" w:ascii="宋体" w:hAnsi="宋体" w:cs="宋体"/>
          <w:b/>
          <w:kern w:val="0"/>
          <w:sz w:val="24"/>
        </w:rPr>
        <w:t>：张涿高速公路2023年松树口、都衙、南峪隧道火灾探测报警系统更新改造工程（委托人：河北高速公路集团有限公司张涿分公司）</w:t>
      </w:r>
    </w:p>
    <w:p>
      <w:pPr>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工程内容：松树口、都衙、南峪隧道火灾探测报警系统由感温光纤及光纤光栅探测改为双波长探测方式，包括拆除原有不可利旧设备，配置火灾报警控制器、双波长火焰探测器、声光报警器等。</w:t>
      </w:r>
    </w:p>
    <w:p>
      <w:pPr>
        <w:autoSpaceDE w:val="0"/>
        <w:autoSpaceDN w:val="0"/>
        <w:adjustRightInd w:val="0"/>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子项目</w:t>
      </w:r>
      <w:r>
        <w:rPr>
          <w:rFonts w:ascii="宋体" w:hAnsi="宋体" w:cs="宋体"/>
          <w:b/>
          <w:kern w:val="0"/>
          <w:sz w:val="24"/>
        </w:rPr>
        <w:t>5</w:t>
      </w:r>
      <w:r>
        <w:rPr>
          <w:rFonts w:hint="eastAsia" w:ascii="宋体" w:hAnsi="宋体" w:cs="宋体"/>
          <w:b/>
          <w:kern w:val="0"/>
          <w:sz w:val="24"/>
        </w:rPr>
        <w:t>：张承高速张家口段2023年大华岭等三座隧道照明灯具更换工程（委托人：河北高速公路集团有限公司张承张家口分公司）</w:t>
      </w:r>
    </w:p>
    <w:p>
      <w:pPr>
        <w:autoSpaceDE w:val="0"/>
        <w:autoSpaceDN w:val="0"/>
        <w:adjustRightInd w:val="0"/>
        <w:snapToGrid w:val="0"/>
        <w:spacing w:line="360" w:lineRule="auto"/>
        <w:ind w:firstLine="480" w:firstLineChars="200"/>
        <w:jc w:val="left"/>
        <w:rPr>
          <w:rFonts w:ascii="宋体" w:hAnsi="宋体" w:cs="宋体"/>
          <w:b/>
          <w:kern w:val="0"/>
          <w:sz w:val="24"/>
        </w:rPr>
      </w:pPr>
      <w:r>
        <w:rPr>
          <w:rFonts w:hint="eastAsia" w:ascii="宋体" w:hAnsi="宋体" w:cs="宋体"/>
          <w:bCs/>
          <w:kern w:val="0"/>
          <w:sz w:val="24"/>
        </w:rPr>
        <w:t>工程内容：对草帽山、东山、大华岭隧道原有照明灯具，采用高光效节能型LED灯具点对点更换；增设无极调光控制系统。</w:t>
      </w:r>
    </w:p>
    <w:p>
      <w:pPr>
        <w:autoSpaceDE w:val="0"/>
        <w:autoSpaceDN w:val="0"/>
        <w:adjustRightInd w:val="0"/>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子项目</w:t>
      </w:r>
      <w:r>
        <w:rPr>
          <w:rFonts w:ascii="宋体" w:hAnsi="宋体" w:cs="宋体"/>
          <w:b/>
          <w:kern w:val="0"/>
          <w:sz w:val="24"/>
        </w:rPr>
        <w:t>6</w:t>
      </w:r>
      <w:r>
        <w:rPr>
          <w:rFonts w:hint="eastAsia" w:ascii="宋体" w:hAnsi="宋体" w:cs="宋体"/>
          <w:b/>
          <w:kern w:val="0"/>
          <w:sz w:val="24"/>
        </w:rPr>
        <w:t>：京沪分公司2023年高速公路信息发布系统提质优化工程（委托人：河北高速公路集团有限公司京沪分公司）</w:t>
      </w:r>
    </w:p>
    <w:p>
      <w:pPr>
        <w:autoSpaceDE w:val="0"/>
        <w:autoSpaceDN w:val="0"/>
        <w:adjustRightInd w:val="0"/>
        <w:snapToGrid w:val="0"/>
        <w:spacing w:line="360" w:lineRule="auto"/>
        <w:ind w:firstLine="480" w:firstLineChars="200"/>
        <w:jc w:val="left"/>
        <w:rPr>
          <w:rFonts w:ascii="宋体" w:hAnsi="宋体" w:cs="宋体"/>
          <w:b/>
          <w:kern w:val="0"/>
          <w:sz w:val="24"/>
        </w:rPr>
      </w:pPr>
      <w:r>
        <w:rPr>
          <w:rFonts w:hint="eastAsia" w:ascii="宋体" w:hAnsi="宋体" w:cs="宋体"/>
          <w:bCs/>
          <w:kern w:val="0"/>
          <w:sz w:val="24"/>
        </w:rPr>
        <w:t>工程内容：对京台高速K151+643等5处更换悬臂式可变信息标志，对K181+000等4处新增悬臂式可变信息标志，对青县收费站至廊沧互通、沧北收费站至廊沧互通全程监控电缆及供电设备和部分可变信息标志的供电电缆进行改造。</w:t>
      </w:r>
    </w:p>
    <w:p>
      <w:pPr>
        <w:autoSpaceDE w:val="0"/>
        <w:autoSpaceDN w:val="0"/>
        <w:adjustRightInd w:val="0"/>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子项目</w:t>
      </w:r>
      <w:r>
        <w:rPr>
          <w:rFonts w:ascii="宋体" w:hAnsi="宋体" w:cs="宋体"/>
          <w:b/>
          <w:kern w:val="0"/>
          <w:sz w:val="24"/>
        </w:rPr>
        <w:t>7</w:t>
      </w:r>
      <w:r>
        <w:rPr>
          <w:rFonts w:hint="eastAsia" w:ascii="宋体" w:hAnsi="宋体" w:cs="宋体"/>
          <w:b/>
          <w:kern w:val="0"/>
          <w:sz w:val="24"/>
        </w:rPr>
        <w:t>：宣大高速公路2023年全程监控外场供电系统改造工程（委托人：河北高速公路集团有限公司宣大分公司）</w:t>
      </w:r>
    </w:p>
    <w:p>
      <w:pPr>
        <w:autoSpaceDE w:val="0"/>
        <w:autoSpaceDN w:val="0"/>
        <w:adjustRightInd w:val="0"/>
        <w:snapToGrid w:val="0"/>
        <w:spacing w:line="360" w:lineRule="auto"/>
        <w:ind w:firstLine="480" w:firstLineChars="200"/>
        <w:jc w:val="left"/>
        <w:rPr>
          <w:rFonts w:ascii="宋体" w:hAnsi="宋体" w:cs="宋体"/>
          <w:b/>
          <w:kern w:val="0"/>
          <w:sz w:val="24"/>
        </w:rPr>
      </w:pPr>
      <w:r>
        <w:rPr>
          <w:rFonts w:hint="eastAsia" w:ascii="宋体" w:hAnsi="宋体" w:cs="宋体"/>
          <w:bCs/>
          <w:kern w:val="0"/>
          <w:sz w:val="24"/>
        </w:rPr>
        <w:t>工程内容：对省界主线站(K269+383)至东城收费站（K215+814）范围的全程监控供电电缆更换以及升降压设备改造，新增路侧敷设铝合金电缆，现有的铜缆保留在原位置，作为备用电缆使用。配置外场降压设备，更换原风光互补系统的蓄电池组14套并对风机和太阳能板进行检修。</w:t>
      </w:r>
    </w:p>
    <w:p>
      <w:pPr>
        <w:autoSpaceDE w:val="0"/>
        <w:autoSpaceDN w:val="0"/>
        <w:adjustRightInd w:val="0"/>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子项目</w:t>
      </w:r>
      <w:r>
        <w:rPr>
          <w:rFonts w:ascii="宋体" w:hAnsi="宋体" w:cs="宋体"/>
          <w:b/>
          <w:kern w:val="0"/>
          <w:sz w:val="24"/>
        </w:rPr>
        <w:t>8</w:t>
      </w:r>
      <w:r>
        <w:rPr>
          <w:rFonts w:hint="eastAsia" w:ascii="宋体" w:hAnsi="宋体" w:cs="宋体"/>
          <w:b/>
          <w:kern w:val="0"/>
          <w:sz w:val="24"/>
        </w:rPr>
        <w:t>：荣乌高速公路2023年水消防设施维修更换工程（委托人：河北高速公路集团有限公司荣乌分公司）</w:t>
      </w:r>
    </w:p>
    <w:p>
      <w:pPr>
        <w:autoSpaceDE w:val="0"/>
        <w:autoSpaceDN w:val="0"/>
        <w:adjustRightInd w:val="0"/>
        <w:snapToGrid w:val="0"/>
        <w:spacing w:line="360" w:lineRule="auto"/>
        <w:ind w:firstLine="480" w:firstLineChars="200"/>
        <w:jc w:val="left"/>
        <w:rPr>
          <w:rFonts w:ascii="宋体" w:hAnsi="宋体" w:cs="宋体"/>
          <w:b/>
          <w:kern w:val="0"/>
          <w:sz w:val="24"/>
        </w:rPr>
      </w:pPr>
      <w:r>
        <w:rPr>
          <w:rFonts w:hint="eastAsia" w:ascii="宋体" w:hAnsi="宋体" w:cs="宋体"/>
          <w:bCs/>
          <w:kern w:val="0"/>
          <w:sz w:val="24"/>
        </w:rPr>
        <w:t>工程内容：更换驿马岭隧道、康家庄隧道、猫尔岩隧道消防电伴热系统。增设隧道电伴热监控系统并配置相关设施如温控器、水成膜泡沫灭火装置等。</w:t>
      </w:r>
    </w:p>
    <w:p>
      <w:pPr>
        <w:autoSpaceDE w:val="0"/>
        <w:autoSpaceDN w:val="0"/>
        <w:adjustRightInd w:val="0"/>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子项目</w:t>
      </w:r>
      <w:r>
        <w:rPr>
          <w:rFonts w:ascii="宋体" w:hAnsi="宋体" w:cs="宋体"/>
          <w:b/>
          <w:kern w:val="0"/>
          <w:sz w:val="24"/>
        </w:rPr>
        <w:t>9</w:t>
      </w:r>
      <w:r>
        <w:rPr>
          <w:rFonts w:hint="eastAsia" w:ascii="宋体" w:hAnsi="宋体" w:cs="宋体"/>
          <w:b/>
          <w:kern w:val="0"/>
          <w:sz w:val="24"/>
        </w:rPr>
        <w:t>：承秦高速秦皇岛段2023年槐尖山、朱杖子隧道照明灯具更换工程（委托人：河北高速公路集团有限公司承秦分公司）</w:t>
      </w:r>
    </w:p>
    <w:p>
      <w:pPr>
        <w:autoSpaceDE w:val="0"/>
        <w:autoSpaceDN w:val="0"/>
        <w:adjustRightInd w:val="0"/>
        <w:snapToGrid w:val="0"/>
        <w:spacing w:line="360" w:lineRule="auto"/>
        <w:ind w:firstLine="480" w:firstLineChars="200"/>
        <w:jc w:val="left"/>
        <w:rPr>
          <w:rFonts w:ascii="宋体" w:hAnsi="宋体" w:cs="宋体"/>
          <w:b/>
          <w:kern w:val="0"/>
          <w:sz w:val="24"/>
        </w:rPr>
      </w:pPr>
      <w:r>
        <w:rPr>
          <w:rFonts w:hint="eastAsia" w:ascii="宋体" w:hAnsi="宋体" w:cs="宋体"/>
          <w:bCs/>
          <w:kern w:val="0"/>
          <w:sz w:val="24"/>
        </w:rPr>
        <w:t>工程内容：对槐尖山、朱杖子隧道原有照明灯具，采用高光效节能型LED灯具点对点更换。增设无级调光控制系统，更换加强段支线电缆。</w:t>
      </w:r>
    </w:p>
    <w:p>
      <w:pPr>
        <w:autoSpaceDE w:val="0"/>
        <w:autoSpaceDN w:val="0"/>
        <w:adjustRightInd w:val="0"/>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子项目1</w:t>
      </w:r>
      <w:r>
        <w:rPr>
          <w:rFonts w:ascii="宋体" w:hAnsi="宋体" w:cs="宋体"/>
          <w:b/>
          <w:kern w:val="0"/>
          <w:sz w:val="24"/>
        </w:rPr>
        <w:t>0</w:t>
      </w:r>
      <w:r>
        <w:rPr>
          <w:rFonts w:hint="eastAsia" w:ascii="宋体" w:hAnsi="宋体" w:cs="宋体"/>
          <w:b/>
          <w:kern w:val="0"/>
          <w:sz w:val="24"/>
        </w:rPr>
        <w:t>：承秦高速公路秦皇岛段2023年隧道监控系统升级改造工程（委托人：河北高速公路集团有限公司承秦分公司）</w:t>
      </w:r>
    </w:p>
    <w:p>
      <w:pPr>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工程内容：(1)将隧道模拟摄像机更换为高清摄像机，共计339套。</w:t>
      </w:r>
    </w:p>
    <w:p>
      <w:pPr>
        <w:autoSpaceDE w:val="0"/>
        <w:autoSpaceDN w:val="0"/>
        <w:adjustRightInd w:val="0"/>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(2)更换茨榆山和抚宁北隧管站监控室LCD屏56块、存储设备等。</w:t>
      </w:r>
    </w:p>
    <w:p>
      <w:pPr>
        <w:autoSpaceDE w:val="0"/>
        <w:autoSpaceDN w:val="0"/>
        <w:adjustRightInd w:val="0"/>
        <w:snapToGrid w:val="0"/>
        <w:spacing w:line="360" w:lineRule="auto"/>
        <w:ind w:firstLine="480" w:firstLineChars="200"/>
        <w:jc w:val="left"/>
        <w:rPr>
          <w:rFonts w:ascii="宋体" w:hAnsi="宋体" w:cs="宋体"/>
          <w:b/>
          <w:kern w:val="0"/>
          <w:sz w:val="24"/>
        </w:rPr>
      </w:pPr>
      <w:r>
        <w:rPr>
          <w:rFonts w:hint="eastAsia" w:ascii="宋体" w:hAnsi="宋体" w:cs="宋体"/>
          <w:bCs/>
          <w:kern w:val="0"/>
          <w:sz w:val="24"/>
        </w:rPr>
        <w:t>(3)更换视频事件检测系统，更换隧道管理站三层以太网交换机接入至万兆环网进行视频传输。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4B66513"/>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2023-11-17T00:56:36Z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78724F35F4C14ABF86A21046069351B7</vt:lpwstr>
  </property>
</Properties>
</file>