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156" w:beforeLines="50" w:after="156" w:afterLines="50" w:line="240" w:lineRule="auto"/>
      </w:pPr>
      <w:bookmarkStart w:id="0" w:name="_Toc148442205"/>
      <w:r>
        <w:rPr>
          <w:rFonts w:hint="eastAsia" w:ascii="宋体" w:hAnsi="宋体"/>
          <w:sz w:val="24"/>
          <w:szCs w:val="24"/>
        </w:rPr>
        <w:t>附件</w:t>
      </w:r>
      <w:r>
        <w:rPr>
          <w:rFonts w:ascii="宋体" w:hAnsi="宋体"/>
          <w:sz w:val="24"/>
          <w:szCs w:val="24"/>
        </w:rPr>
        <w:t>1</w:t>
      </w:r>
      <w:r>
        <w:rPr>
          <w:rFonts w:hint="eastAsia" w:ascii="宋体" w:hAnsi="宋体"/>
          <w:sz w:val="24"/>
          <w:szCs w:val="24"/>
        </w:rPr>
        <w:t>：资格审查条件</w:t>
      </w:r>
      <w:bookmarkEnd w:id="0"/>
    </w:p>
    <w:p>
      <w:pPr>
        <w:jc w:val="center"/>
      </w:pPr>
    </w:p>
    <w:p>
      <w:pPr>
        <w:jc w:val="center"/>
        <w:rPr>
          <w:rFonts w:ascii="宋体" w:hAnsi="宋体"/>
          <w:b/>
          <w:sz w:val="24"/>
          <w:szCs w:val="24"/>
        </w:rPr>
      </w:pPr>
      <w:r>
        <w:rPr>
          <w:rFonts w:hint="eastAsia" w:ascii="宋体" w:hAnsi="宋体"/>
          <w:b/>
          <w:sz w:val="24"/>
          <w:szCs w:val="24"/>
        </w:rPr>
        <w:t>附录1  资格审查条件（资质最低要求）</w:t>
      </w:r>
    </w:p>
    <w:p>
      <w:pPr>
        <w:jc w:val="center"/>
        <w:rPr>
          <w:rFonts w:ascii="宋体" w:hAnsi="宋体"/>
          <w:b/>
          <w:sz w:val="24"/>
          <w:szCs w:val="24"/>
        </w:rPr>
      </w:pPr>
    </w:p>
    <w:tbl>
      <w:tblPr>
        <w:tblStyle w:val="4"/>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42" w:type="dxa"/>
            <w:vAlign w:val="center"/>
          </w:tcPr>
          <w:p>
            <w:pPr>
              <w:jc w:val="center"/>
              <w:rPr>
                <w:rFonts w:ascii="宋体" w:hAnsi="宋体"/>
                <w:szCs w:val="21"/>
              </w:rPr>
            </w:pPr>
            <w:r>
              <w:rPr>
                <w:rFonts w:hint="eastAsia" w:ascii="宋体" w:hAnsi="宋体"/>
                <w:szCs w:val="21"/>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642" w:type="dxa"/>
            <w:vAlign w:val="center"/>
          </w:tcPr>
          <w:p>
            <w:pPr>
              <w:snapToGrid w:val="0"/>
              <w:spacing w:line="360" w:lineRule="exact"/>
              <w:ind w:firstLine="420" w:firstLineChars="200"/>
              <w:rPr>
                <w:rFonts w:ascii="宋体" w:hAnsi="宋体"/>
                <w:kern w:val="0"/>
                <w:szCs w:val="21"/>
              </w:rPr>
            </w:pPr>
            <w:r>
              <w:rPr>
                <w:rFonts w:hint="eastAsia" w:ascii="宋体" w:hAnsi="宋体"/>
                <w:kern w:val="0"/>
                <w:szCs w:val="21"/>
              </w:rPr>
              <w:t>具有独立法人资格，具有有效的企业营业执照或事业单位法人证书。</w:t>
            </w:r>
          </w:p>
        </w:tc>
      </w:tr>
    </w:tbl>
    <w:p>
      <w:pPr>
        <w:rPr>
          <w:rFonts w:ascii="宋体" w:hAnsi="宋体"/>
          <w:sz w:val="24"/>
          <w:szCs w:val="24"/>
        </w:rPr>
      </w:pPr>
    </w:p>
    <w:p>
      <w:pPr>
        <w:rPr>
          <w:rFonts w:ascii="宋体" w:hAnsi="宋体"/>
          <w:sz w:val="24"/>
          <w:szCs w:val="24"/>
        </w:rPr>
      </w:pPr>
    </w:p>
    <w:p>
      <w:pPr>
        <w:jc w:val="center"/>
        <w:rPr>
          <w:rFonts w:ascii="宋体" w:hAnsi="宋体"/>
          <w:b/>
          <w:sz w:val="24"/>
          <w:szCs w:val="24"/>
        </w:rPr>
      </w:pPr>
      <w:r>
        <w:rPr>
          <w:rFonts w:hint="eastAsia" w:ascii="宋体" w:hAnsi="宋体"/>
          <w:b/>
          <w:sz w:val="24"/>
          <w:szCs w:val="24"/>
        </w:rPr>
        <w:t>附录2  资格审查条件（业绩最低要求）</w:t>
      </w:r>
    </w:p>
    <w:p>
      <w:pPr>
        <w:jc w:val="center"/>
        <w:rPr>
          <w:rFonts w:ascii="宋体" w:hAnsi="宋体"/>
          <w:b/>
          <w:sz w:val="24"/>
          <w:szCs w:val="24"/>
        </w:rPr>
      </w:pPr>
    </w:p>
    <w:tbl>
      <w:tblPr>
        <w:tblStyle w:val="4"/>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42" w:type="dxa"/>
            <w:vAlign w:val="center"/>
          </w:tcPr>
          <w:p>
            <w:pPr>
              <w:jc w:val="center"/>
              <w:rPr>
                <w:rFonts w:ascii="宋体" w:hAnsi="宋体"/>
                <w:szCs w:val="21"/>
              </w:rPr>
            </w:pPr>
            <w:r>
              <w:rPr>
                <w:rFonts w:hint="eastAsia" w:ascii="宋体" w:hAnsi="宋体"/>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8642" w:type="dxa"/>
            <w:vAlign w:val="center"/>
          </w:tcPr>
          <w:p>
            <w:pPr>
              <w:snapToGrid w:val="0"/>
              <w:spacing w:line="360" w:lineRule="exact"/>
              <w:ind w:firstLine="420" w:firstLineChars="200"/>
              <w:rPr>
                <w:rFonts w:ascii="宋体" w:hAnsi="宋体"/>
                <w:szCs w:val="21"/>
              </w:rPr>
            </w:pPr>
            <w:r>
              <w:rPr>
                <w:rFonts w:hint="eastAsia" w:ascii="宋体" w:hAnsi="宋体"/>
                <w:szCs w:val="21"/>
              </w:rPr>
              <w:t>近5年（2018年11月1日至投标截止时间，以通过成果验收或鉴定时间或登记时间为准）至少完成过1项公路路面科研项目。</w:t>
            </w:r>
          </w:p>
        </w:tc>
      </w:tr>
    </w:tbl>
    <w:p>
      <w:pPr>
        <w:rPr>
          <w:rFonts w:ascii="宋体" w:hAnsi="宋体"/>
          <w:sz w:val="24"/>
          <w:szCs w:val="24"/>
        </w:rPr>
      </w:pPr>
    </w:p>
    <w:p>
      <w:pPr>
        <w:rPr>
          <w:rFonts w:ascii="宋体" w:hAnsi="宋体"/>
          <w:sz w:val="24"/>
          <w:szCs w:val="24"/>
        </w:rPr>
      </w:pPr>
    </w:p>
    <w:p>
      <w:pPr>
        <w:jc w:val="center"/>
        <w:rPr>
          <w:rFonts w:ascii="宋体" w:hAnsi="宋体"/>
          <w:b/>
          <w:sz w:val="24"/>
          <w:szCs w:val="24"/>
        </w:rPr>
      </w:pPr>
      <w:r>
        <w:rPr>
          <w:rFonts w:hint="eastAsia" w:ascii="宋体" w:hAnsi="宋体"/>
          <w:b/>
          <w:sz w:val="24"/>
          <w:szCs w:val="24"/>
        </w:rPr>
        <w:t>附录3  资格审查条件（信誉最低要求）</w:t>
      </w:r>
    </w:p>
    <w:p>
      <w:pPr>
        <w:jc w:val="center"/>
        <w:rPr>
          <w:rFonts w:ascii="宋体" w:hAnsi="宋体"/>
          <w:b/>
          <w:sz w:val="24"/>
          <w:szCs w:val="24"/>
        </w:rPr>
      </w:pPr>
    </w:p>
    <w:tbl>
      <w:tblPr>
        <w:tblStyle w:val="4"/>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642" w:type="dxa"/>
            <w:vAlign w:val="center"/>
          </w:tcPr>
          <w:p>
            <w:pPr>
              <w:jc w:val="center"/>
              <w:rPr>
                <w:rFonts w:ascii="宋体" w:hAnsi="宋体"/>
                <w:szCs w:val="21"/>
              </w:rPr>
            </w:pPr>
            <w:r>
              <w:rPr>
                <w:rFonts w:hint="eastAsia" w:ascii="宋体" w:hAnsi="宋体"/>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642" w:type="dxa"/>
            <w:vAlign w:val="center"/>
          </w:tcPr>
          <w:p>
            <w:pPr>
              <w:snapToGrid w:val="0"/>
              <w:spacing w:line="360" w:lineRule="exact"/>
              <w:ind w:firstLine="420" w:firstLineChars="200"/>
              <w:rPr>
                <w:rFonts w:ascii="宋体" w:hAnsi="宋体"/>
                <w:szCs w:val="21"/>
              </w:rPr>
            </w:pPr>
            <w:r>
              <w:rPr>
                <w:rFonts w:hint="eastAsia" w:ascii="宋体" w:hAnsi="宋体"/>
                <w:kern w:val="0"/>
                <w:szCs w:val="21"/>
              </w:rPr>
              <w:t>投标人在过去1年中（2022年11月1日至投标截止时间）不曾在高速公路科研项目合同中违约而被驱逐或因投标人自身的原因而使高速公路科研合同被解除。</w:t>
            </w:r>
          </w:p>
        </w:tc>
      </w:tr>
    </w:tbl>
    <w:p>
      <w:pPr>
        <w:rPr>
          <w:rFonts w:ascii="宋体" w:hAnsi="宋体"/>
          <w:sz w:val="24"/>
          <w:szCs w:val="24"/>
        </w:rPr>
      </w:pPr>
    </w:p>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附录4  资格审查条件（项目负责人最低要求）</w:t>
      </w:r>
    </w:p>
    <w:p>
      <w:pPr>
        <w:jc w:val="center"/>
        <w:rPr>
          <w:rFonts w:ascii="宋体" w:hAnsi="宋体"/>
          <w:b/>
          <w:sz w:val="24"/>
          <w:szCs w:val="24"/>
        </w:rPr>
      </w:pPr>
    </w:p>
    <w:tbl>
      <w:tblPr>
        <w:tblStyle w:val="4"/>
        <w:tblW w:w="86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992"/>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00" w:type="dxa"/>
            <w:vAlign w:val="center"/>
          </w:tcPr>
          <w:p>
            <w:pPr>
              <w:jc w:val="center"/>
              <w:rPr>
                <w:rFonts w:ascii="宋体" w:hAnsi="宋体"/>
                <w:szCs w:val="21"/>
              </w:rPr>
            </w:pPr>
            <w:r>
              <w:rPr>
                <w:rFonts w:hint="eastAsia" w:ascii="宋体" w:hAnsi="宋体"/>
                <w:szCs w:val="21"/>
              </w:rPr>
              <w:t>人员</w:t>
            </w:r>
          </w:p>
        </w:tc>
        <w:tc>
          <w:tcPr>
            <w:tcW w:w="992" w:type="dxa"/>
            <w:vAlign w:val="center"/>
          </w:tcPr>
          <w:p>
            <w:pPr>
              <w:jc w:val="center"/>
              <w:rPr>
                <w:rFonts w:ascii="宋体" w:hAnsi="宋体"/>
                <w:szCs w:val="21"/>
              </w:rPr>
            </w:pPr>
            <w:r>
              <w:rPr>
                <w:rFonts w:hint="eastAsia" w:ascii="宋体" w:hAnsi="宋体"/>
                <w:szCs w:val="21"/>
              </w:rPr>
              <w:t>数量</w:t>
            </w:r>
          </w:p>
        </w:tc>
        <w:tc>
          <w:tcPr>
            <w:tcW w:w="6379" w:type="dxa"/>
            <w:vAlign w:val="center"/>
          </w:tcPr>
          <w:p>
            <w:pPr>
              <w:jc w:val="center"/>
              <w:rPr>
                <w:rFonts w:ascii="宋体" w:hAnsi="宋体"/>
                <w:szCs w:val="21"/>
              </w:rPr>
            </w:pPr>
            <w:r>
              <w:rPr>
                <w:rFonts w:hint="eastAsia" w:ascii="宋体" w:hAnsi="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1300" w:type="dxa"/>
            <w:vAlign w:val="center"/>
          </w:tcPr>
          <w:p>
            <w:pPr>
              <w:jc w:val="center"/>
              <w:rPr>
                <w:rFonts w:ascii="宋体" w:hAnsi="宋体"/>
                <w:szCs w:val="21"/>
              </w:rPr>
            </w:pPr>
            <w:r>
              <w:rPr>
                <w:rFonts w:hint="eastAsia" w:ascii="宋体" w:hAnsi="宋体"/>
                <w:szCs w:val="21"/>
              </w:rPr>
              <w:t>项目负责人</w:t>
            </w:r>
          </w:p>
        </w:tc>
        <w:tc>
          <w:tcPr>
            <w:tcW w:w="992" w:type="dxa"/>
            <w:vAlign w:val="center"/>
          </w:tcPr>
          <w:p>
            <w:pPr>
              <w:jc w:val="center"/>
              <w:rPr>
                <w:rFonts w:ascii="宋体" w:hAnsi="宋体"/>
                <w:szCs w:val="21"/>
              </w:rPr>
            </w:pPr>
            <w:r>
              <w:rPr>
                <w:rFonts w:hint="eastAsia" w:ascii="宋体" w:hAnsi="宋体"/>
                <w:szCs w:val="21"/>
              </w:rPr>
              <w:t>1</w:t>
            </w:r>
          </w:p>
        </w:tc>
        <w:tc>
          <w:tcPr>
            <w:tcW w:w="6379" w:type="dxa"/>
            <w:vAlign w:val="center"/>
          </w:tcPr>
          <w:p>
            <w:pPr>
              <w:snapToGrid w:val="0"/>
              <w:spacing w:line="360" w:lineRule="exact"/>
              <w:rPr>
                <w:rFonts w:ascii="宋体" w:hAnsi="宋体"/>
                <w:kern w:val="0"/>
                <w:szCs w:val="21"/>
              </w:rPr>
            </w:pPr>
            <w:r>
              <w:rPr>
                <w:rFonts w:hint="eastAsia" w:ascii="宋体" w:hAnsi="宋体"/>
                <w:kern w:val="0"/>
                <w:szCs w:val="21"/>
              </w:rPr>
              <w:t>高级职称；</w:t>
            </w:r>
          </w:p>
          <w:p>
            <w:pPr>
              <w:snapToGrid w:val="0"/>
              <w:spacing w:line="360" w:lineRule="exact"/>
              <w:rPr>
                <w:rFonts w:ascii="宋体" w:hAnsi="宋体"/>
                <w:szCs w:val="21"/>
              </w:rPr>
            </w:pPr>
            <w:r>
              <w:rPr>
                <w:rFonts w:hint="eastAsia" w:ascii="宋体" w:hAnsi="宋体"/>
                <w:szCs w:val="21"/>
              </w:rPr>
              <w:t>近5年（2018年11月1日至投标截止时间，以通过成果验收或鉴定时间或登记时间为准）</w:t>
            </w:r>
            <w:r>
              <w:rPr>
                <w:rFonts w:hint="eastAsia" w:ascii="宋体" w:hAnsi="宋体"/>
                <w:kern w:val="0"/>
                <w:szCs w:val="21"/>
              </w:rPr>
              <w:t>担任过</w:t>
            </w:r>
            <w:r>
              <w:rPr>
                <w:rFonts w:hint="eastAsia" w:ascii="宋体" w:hAnsi="宋体"/>
                <w:szCs w:val="21"/>
              </w:rPr>
              <w:t>1项公路路面科研项目</w:t>
            </w:r>
            <w:r>
              <w:rPr>
                <w:rFonts w:hint="eastAsia" w:ascii="宋体" w:hAnsi="宋体"/>
                <w:kern w:val="0"/>
                <w:szCs w:val="21"/>
              </w:rPr>
              <w:t>的项目负责人。</w:t>
            </w:r>
          </w:p>
        </w:tc>
      </w:tr>
    </w:tbl>
    <w:p>
      <w:pPr>
        <w:rPr>
          <w:rFonts w:ascii="宋体" w:hAnsi="宋体"/>
          <w:sz w:val="24"/>
          <w:szCs w:val="24"/>
        </w:rPr>
      </w:pPr>
    </w:p>
    <w:p>
      <w:pPr>
        <w:pStyle w:val="2"/>
        <w:snapToGrid w:val="0"/>
        <w:spacing w:before="156" w:beforeLines="50" w:after="156" w:afterLines="50" w:line="240" w:lineRule="auto"/>
        <w:rPr>
          <w:rFonts w:ascii="宋体" w:hAnsi="宋体"/>
          <w:sz w:val="24"/>
          <w:szCs w:val="24"/>
        </w:rPr>
      </w:pPr>
      <w:r>
        <w:rPr>
          <w:rFonts w:ascii="黑体" w:eastAsia="黑体"/>
          <w:spacing w:val="-8"/>
          <w:sz w:val="24"/>
          <w:szCs w:val="24"/>
        </w:rPr>
        <w:br w:type="page"/>
      </w:r>
      <w:bookmarkStart w:id="1" w:name="_Toc148442206"/>
      <w:r>
        <w:rPr>
          <w:rFonts w:hint="eastAsia" w:ascii="宋体" w:hAnsi="宋体"/>
          <w:sz w:val="24"/>
          <w:szCs w:val="24"/>
        </w:rPr>
        <w:t>附件</w:t>
      </w:r>
      <w:r>
        <w:rPr>
          <w:rFonts w:ascii="宋体" w:hAnsi="宋体"/>
          <w:sz w:val="24"/>
          <w:szCs w:val="24"/>
        </w:rPr>
        <w:t>2</w:t>
      </w:r>
      <w:r>
        <w:rPr>
          <w:rFonts w:hint="eastAsia" w:ascii="宋体" w:hAnsi="宋体"/>
          <w:sz w:val="24"/>
          <w:szCs w:val="24"/>
        </w:rPr>
        <w:t>：评标办法</w:t>
      </w:r>
      <w:bookmarkEnd w:id="1"/>
    </w:p>
    <w:p>
      <w:pPr>
        <w:pStyle w:val="2"/>
        <w:snapToGrid w:val="0"/>
        <w:spacing w:before="120" w:after="120" w:line="240" w:lineRule="auto"/>
        <w:rPr>
          <w:sz w:val="24"/>
          <w:szCs w:val="24"/>
        </w:rPr>
      </w:pPr>
      <w:bookmarkStart w:id="2" w:name="_Toc66984522"/>
      <w:bookmarkStart w:id="3" w:name="_Toc66337244"/>
      <w:bookmarkStart w:id="4" w:name="_Toc144559653"/>
      <w:bookmarkStart w:id="5" w:name="_Toc148442207"/>
      <w:bookmarkStart w:id="6" w:name="_Toc138793770"/>
      <w:bookmarkStart w:id="7" w:name="_Toc65857110"/>
      <w:bookmarkStart w:id="8" w:name="_Toc65820978"/>
      <w:r>
        <w:rPr>
          <w:rFonts w:hint="eastAsia"/>
          <w:sz w:val="24"/>
          <w:szCs w:val="24"/>
        </w:rPr>
        <w:t>评标办法前附表</w:t>
      </w:r>
      <w:bookmarkEnd w:id="2"/>
      <w:bookmarkEnd w:id="3"/>
      <w:bookmarkEnd w:id="4"/>
      <w:bookmarkEnd w:id="5"/>
      <w:bookmarkEnd w:id="6"/>
      <w:bookmarkEnd w:id="7"/>
      <w:bookmarkEnd w:id="8"/>
    </w:p>
    <w:tbl>
      <w:tblPr>
        <w:tblStyle w:val="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41"/>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58" w:type="dxa"/>
            <w:gridSpan w:val="2"/>
            <w:vAlign w:val="center"/>
          </w:tcPr>
          <w:p>
            <w:pPr>
              <w:jc w:val="center"/>
              <w:rPr>
                <w:rFonts w:ascii="宋体" w:hAnsi="宋体"/>
              </w:rPr>
            </w:pPr>
            <w:r>
              <w:rPr>
                <w:rFonts w:hint="eastAsia" w:ascii="宋体" w:hAnsi="宋体"/>
              </w:rPr>
              <w:t>条款号</w:t>
            </w:r>
          </w:p>
        </w:tc>
        <w:tc>
          <w:tcPr>
            <w:tcW w:w="7648" w:type="dxa"/>
            <w:vAlign w:val="center"/>
          </w:tcPr>
          <w:p>
            <w:pPr>
              <w:jc w:val="center"/>
              <w:rPr>
                <w:rFonts w:ascii="宋体" w:hAnsi="宋体"/>
              </w:rPr>
            </w:pPr>
            <w:r>
              <w:rPr>
                <w:rFonts w:hint="eastAsia" w:ascii="宋体" w:hAnsi="宋体"/>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817" w:type="dxa"/>
            <w:vAlign w:val="center"/>
          </w:tcPr>
          <w:p>
            <w:pPr>
              <w:snapToGrid w:val="0"/>
              <w:spacing w:line="340" w:lineRule="exact"/>
              <w:jc w:val="center"/>
              <w:rPr>
                <w:rFonts w:ascii="宋体" w:hAnsi="宋体"/>
              </w:rPr>
            </w:pPr>
            <w:r>
              <w:rPr>
                <w:rFonts w:hint="eastAsia" w:ascii="宋体" w:hAnsi="宋体"/>
              </w:rPr>
              <w:t>1</w:t>
            </w:r>
          </w:p>
        </w:tc>
        <w:tc>
          <w:tcPr>
            <w:tcW w:w="1141" w:type="dxa"/>
            <w:vAlign w:val="center"/>
          </w:tcPr>
          <w:p>
            <w:pPr>
              <w:snapToGrid w:val="0"/>
              <w:spacing w:line="340" w:lineRule="exact"/>
              <w:jc w:val="center"/>
              <w:rPr>
                <w:rFonts w:ascii="宋体" w:hAnsi="宋体"/>
              </w:rPr>
            </w:pPr>
            <w:r>
              <w:rPr>
                <w:rFonts w:hint="eastAsia" w:ascii="宋体" w:hAnsi="宋体"/>
              </w:rPr>
              <w:t>评标方法</w:t>
            </w:r>
          </w:p>
        </w:tc>
        <w:tc>
          <w:tcPr>
            <w:tcW w:w="7648" w:type="dxa"/>
            <w:vAlign w:val="center"/>
          </w:tcPr>
          <w:p>
            <w:pPr>
              <w:ind w:firstLine="315" w:firstLineChars="150"/>
              <w:jc w:val="left"/>
              <w:rPr>
                <w:rFonts w:ascii="宋体" w:hAnsi="宋体"/>
              </w:rPr>
            </w:pPr>
            <w:r>
              <w:rPr>
                <w:rFonts w:hint="eastAsia" w:ascii="宋体" w:hAnsi="宋体"/>
              </w:rPr>
              <w:t>本次评标采用综合评估法。评标委员会对满足招标文件实质性要求的投标文件，按照本章第2.2款规定的评分标准进行打分，并按得分由高到低顺序推荐1-3名中标候选人。综合评分相等时，评标委员会依次按照以下优先顺序推荐中标候选人：</w:t>
            </w:r>
          </w:p>
          <w:p>
            <w:pPr>
              <w:ind w:firstLine="315" w:firstLineChars="150"/>
              <w:jc w:val="left"/>
              <w:rPr>
                <w:rFonts w:ascii="宋体" w:hAnsi="宋体"/>
              </w:rPr>
            </w:pPr>
            <w:r>
              <w:rPr>
                <w:rFonts w:hint="eastAsia" w:ascii="宋体" w:hAnsi="宋体"/>
              </w:rPr>
              <w:t>（1）评标价低的投标人优先；</w:t>
            </w:r>
          </w:p>
          <w:p>
            <w:pPr>
              <w:ind w:firstLine="315" w:firstLineChars="150"/>
              <w:jc w:val="left"/>
              <w:rPr>
                <w:rFonts w:ascii="宋体" w:hAnsi="宋体"/>
              </w:rPr>
            </w:pPr>
            <w:r>
              <w:rPr>
                <w:rFonts w:hint="eastAsia" w:ascii="宋体" w:hAnsi="宋体"/>
              </w:rPr>
              <w:t>（2）技术建议书得分较高的投标人优先；</w:t>
            </w:r>
          </w:p>
          <w:p>
            <w:pPr>
              <w:snapToGrid w:val="0"/>
              <w:spacing w:line="300" w:lineRule="exact"/>
              <w:ind w:firstLine="315" w:firstLineChars="150"/>
              <w:jc w:val="left"/>
              <w:rPr>
                <w:rFonts w:ascii="宋体" w:hAnsi="宋体"/>
              </w:rPr>
            </w:pPr>
            <w:r>
              <w:rPr>
                <w:rFonts w:hint="eastAsia" w:ascii="宋体" w:hAnsi="宋体"/>
              </w:rPr>
              <w:t>（3）投标文件中满足附录2资格审查条件(业绩最低要求) 的业绩累计金额高的优先。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trPr>
        <w:tc>
          <w:tcPr>
            <w:tcW w:w="817" w:type="dxa"/>
            <w:vAlign w:val="center"/>
          </w:tcPr>
          <w:p>
            <w:pPr>
              <w:jc w:val="center"/>
              <w:rPr>
                <w:rFonts w:ascii="宋体" w:hAnsi="宋体"/>
              </w:rPr>
            </w:pPr>
            <w:r>
              <w:rPr>
                <w:rFonts w:ascii="宋体" w:hAnsi="宋体"/>
              </w:rPr>
              <w:t>2.1.1</w:t>
            </w:r>
          </w:p>
          <w:p>
            <w:pPr>
              <w:jc w:val="center"/>
              <w:rPr>
                <w:rFonts w:ascii="宋体" w:hAnsi="宋体"/>
              </w:rPr>
            </w:pPr>
            <w:r>
              <w:rPr>
                <w:rFonts w:ascii="宋体" w:hAnsi="宋体"/>
              </w:rPr>
              <w:t>2.1.3</w:t>
            </w:r>
          </w:p>
        </w:tc>
        <w:tc>
          <w:tcPr>
            <w:tcW w:w="1141" w:type="dxa"/>
            <w:vAlign w:val="center"/>
          </w:tcPr>
          <w:p>
            <w:pPr>
              <w:jc w:val="center"/>
              <w:rPr>
                <w:rFonts w:ascii="宋体" w:hAnsi="宋体"/>
              </w:rPr>
            </w:pPr>
            <w:r>
              <w:rPr>
                <w:rFonts w:hint="eastAsia" w:ascii="宋体" w:hAnsi="宋体"/>
              </w:rPr>
              <w:t>形式评审与响应性评审标准</w:t>
            </w:r>
          </w:p>
        </w:tc>
        <w:tc>
          <w:tcPr>
            <w:tcW w:w="7648" w:type="dxa"/>
          </w:tcPr>
          <w:p>
            <w:pPr>
              <w:tabs>
                <w:tab w:val="left" w:pos="3060"/>
              </w:tabs>
              <w:spacing w:line="300" w:lineRule="exact"/>
              <w:rPr>
                <w:rFonts w:ascii="宋体" w:hAnsi="宋体"/>
                <w:b/>
                <w:szCs w:val="21"/>
              </w:rPr>
            </w:pPr>
            <w:r>
              <w:rPr>
                <w:rFonts w:hint="eastAsia" w:ascii="宋体" w:hAnsi="宋体"/>
                <w:b/>
                <w:szCs w:val="21"/>
              </w:rPr>
              <w:t>第一个信封（商务及技术文件）评审标准：</w:t>
            </w:r>
          </w:p>
          <w:p>
            <w:pPr>
              <w:tabs>
                <w:tab w:val="left" w:pos="3060"/>
              </w:tabs>
              <w:spacing w:line="300" w:lineRule="exact"/>
              <w:ind w:firstLine="210" w:firstLineChars="100"/>
              <w:rPr>
                <w:rFonts w:ascii="宋体" w:hAnsi="宋体"/>
                <w:szCs w:val="21"/>
              </w:rPr>
            </w:pPr>
            <w:r>
              <w:rPr>
                <w:rFonts w:hint="eastAsia" w:ascii="宋体" w:hAnsi="宋体"/>
                <w:szCs w:val="21"/>
              </w:rPr>
              <w:t>（1）投标文件按照招标文件规定的格式、内容填写，字迹清晰可辨：</w:t>
            </w:r>
          </w:p>
          <w:p>
            <w:pPr>
              <w:tabs>
                <w:tab w:val="left" w:pos="3060"/>
              </w:tabs>
              <w:spacing w:line="300" w:lineRule="exact"/>
              <w:ind w:firstLine="420" w:firstLineChars="200"/>
              <w:rPr>
                <w:rFonts w:ascii="宋体" w:hAnsi="宋体"/>
                <w:szCs w:val="21"/>
              </w:rPr>
            </w:pPr>
            <w:r>
              <w:rPr>
                <w:rFonts w:hint="eastAsia" w:ascii="宋体" w:hAnsi="宋体"/>
                <w:szCs w:val="21"/>
              </w:rPr>
              <w:t>a．投标函按招标文件规定填报了招标人名称、项目名称、补遗书编号（如有）、项目负责人相关信息、服务期限、质量要求等内容；</w:t>
            </w:r>
          </w:p>
          <w:p>
            <w:pPr>
              <w:tabs>
                <w:tab w:val="left" w:pos="3060"/>
              </w:tabs>
              <w:spacing w:line="300" w:lineRule="exact"/>
              <w:ind w:firstLine="420" w:firstLineChars="200"/>
              <w:rPr>
                <w:rFonts w:ascii="宋体" w:hAnsi="宋体"/>
                <w:szCs w:val="21"/>
              </w:rPr>
            </w:pPr>
            <w:r>
              <w:rPr>
                <w:rFonts w:hint="eastAsia" w:ascii="宋体" w:hAnsi="宋体"/>
                <w:szCs w:val="21"/>
              </w:rPr>
              <w:t>b．投标文件组成齐全完整，内容均按规定填写。</w:t>
            </w:r>
          </w:p>
          <w:p>
            <w:pPr>
              <w:tabs>
                <w:tab w:val="left" w:pos="3060"/>
              </w:tabs>
              <w:spacing w:line="300" w:lineRule="exact"/>
              <w:ind w:firstLine="210" w:firstLineChars="100"/>
              <w:rPr>
                <w:rFonts w:ascii="宋体" w:hAnsi="宋体"/>
                <w:bCs/>
                <w:szCs w:val="21"/>
              </w:rPr>
            </w:pPr>
            <w:r>
              <w:rPr>
                <w:rFonts w:hint="eastAsia" w:ascii="宋体" w:hAnsi="宋体"/>
                <w:bCs/>
                <w:szCs w:val="21"/>
              </w:rPr>
              <w:t>（</w:t>
            </w:r>
            <w:r>
              <w:rPr>
                <w:rFonts w:ascii="宋体" w:hAnsi="宋体"/>
                <w:bCs/>
                <w:szCs w:val="21"/>
              </w:rPr>
              <w:t>2</w:t>
            </w:r>
            <w:r>
              <w:rPr>
                <w:rFonts w:hint="eastAsia" w:ascii="宋体" w:hAnsi="宋体"/>
                <w:bCs/>
                <w:szCs w:val="21"/>
              </w:rPr>
              <w:t>）投标文件上法定代表人或其授权代理人的签字、投标人的单位章盖章齐全，符合招标文件规定。</w:t>
            </w:r>
          </w:p>
          <w:p>
            <w:pPr>
              <w:tabs>
                <w:tab w:val="left" w:pos="3060"/>
              </w:tabs>
              <w:spacing w:line="300" w:lineRule="exact"/>
              <w:ind w:firstLine="210" w:firstLineChars="1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）投标人按照招标文件的规定提供了投标保证金。</w:t>
            </w:r>
          </w:p>
          <w:p>
            <w:pPr>
              <w:tabs>
                <w:tab w:val="left" w:pos="3060"/>
              </w:tabs>
              <w:spacing w:line="300" w:lineRule="exact"/>
              <w:ind w:firstLine="420" w:firstLineChars="200"/>
              <w:rPr>
                <w:rFonts w:ascii="宋体" w:hAnsi="宋体"/>
                <w:szCs w:val="21"/>
              </w:rPr>
            </w:pPr>
            <w:r>
              <w:rPr>
                <w:rFonts w:hint="eastAsia" w:ascii="宋体" w:hAnsi="宋体"/>
                <w:szCs w:val="21"/>
              </w:rPr>
              <w:t>a．投标保证金金额符合招标文件规定的金额，且投标保证金有效期不少于投标有效期；</w:t>
            </w:r>
          </w:p>
          <w:p>
            <w:pPr>
              <w:tabs>
                <w:tab w:val="left" w:pos="3060"/>
              </w:tabs>
              <w:spacing w:line="300" w:lineRule="exact"/>
              <w:ind w:firstLine="420" w:firstLineChars="200"/>
              <w:rPr>
                <w:rFonts w:ascii="宋体" w:hAnsi="宋体"/>
                <w:szCs w:val="21"/>
              </w:rPr>
            </w:pPr>
            <w:r>
              <w:rPr>
                <w:rFonts w:hint="eastAsia" w:ascii="宋体" w:hAnsi="宋体"/>
                <w:szCs w:val="21"/>
              </w:rPr>
              <w:t>b.若投标保证金采电汇或转账形式提交，投标人应在递交投标文件截止时间之前，将投标保证金由投标人的基本账户转入招标人指定账户；</w:t>
            </w:r>
          </w:p>
          <w:p>
            <w:pPr>
              <w:tabs>
                <w:tab w:val="left" w:pos="3060"/>
              </w:tabs>
              <w:spacing w:line="300" w:lineRule="exact"/>
              <w:ind w:firstLine="420" w:firstLineChars="200"/>
              <w:rPr>
                <w:rFonts w:ascii="宋体" w:hAnsi="宋体"/>
                <w:szCs w:val="21"/>
              </w:rPr>
            </w:pPr>
            <w:r>
              <w:rPr>
                <w:rFonts w:hint="eastAsia" w:ascii="宋体" w:hAnsi="宋体"/>
                <w:szCs w:val="21"/>
              </w:rPr>
              <w:t>c.若投标保证金采用保函形式提交，开具的保函满足招标文件要求。</w:t>
            </w:r>
          </w:p>
          <w:p>
            <w:pPr>
              <w:tabs>
                <w:tab w:val="left" w:pos="3060"/>
              </w:tabs>
              <w:spacing w:line="300" w:lineRule="exact"/>
              <w:ind w:firstLine="420" w:firstLineChars="200"/>
              <w:rPr>
                <w:rFonts w:ascii="宋体" w:hAnsi="宋体"/>
                <w:szCs w:val="21"/>
              </w:rPr>
            </w:pPr>
            <w:r>
              <w:rPr>
                <w:rFonts w:hint="eastAsia" w:ascii="宋体" w:hAnsi="宋体"/>
                <w:szCs w:val="21"/>
              </w:rPr>
              <w:t>d.若投标保证金采用保证保险形式提交，开具的保证保险满足招标文件要求。</w:t>
            </w:r>
          </w:p>
          <w:p>
            <w:pPr>
              <w:tabs>
                <w:tab w:val="left" w:pos="3060"/>
              </w:tabs>
              <w:spacing w:line="300" w:lineRule="exact"/>
              <w:ind w:firstLine="210" w:firstLineChars="1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）投标人法定代表人授权委托代理人签署投标文件的，须提交授权委托书。</w:t>
            </w:r>
          </w:p>
          <w:p>
            <w:pPr>
              <w:tabs>
                <w:tab w:val="left" w:pos="3060"/>
              </w:tabs>
              <w:spacing w:line="300" w:lineRule="exact"/>
              <w:ind w:firstLine="210" w:firstLineChars="1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）投标人法定代表人亲自签署投标文件的，提供了法定代表人身份证明。</w:t>
            </w:r>
          </w:p>
          <w:p>
            <w:pPr>
              <w:tabs>
                <w:tab w:val="left" w:pos="3060"/>
              </w:tabs>
              <w:spacing w:line="300" w:lineRule="exact"/>
              <w:ind w:firstLine="210" w:firstLineChars="1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）投标人未以联合体形式投标。</w:t>
            </w:r>
          </w:p>
          <w:p>
            <w:pPr>
              <w:tabs>
                <w:tab w:val="left" w:pos="3060"/>
              </w:tabs>
              <w:spacing w:line="300" w:lineRule="exact"/>
              <w:ind w:firstLine="210" w:firstLineChars="10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w:t>
            </w:r>
            <w:r>
              <w:rPr>
                <w:rFonts w:ascii="宋体" w:hAnsi="宋体"/>
                <w:szCs w:val="21"/>
              </w:rPr>
              <w:t>投标人未对本项目提出分包计划</w:t>
            </w:r>
            <w:r>
              <w:rPr>
                <w:rFonts w:hint="eastAsia" w:ascii="宋体" w:hAnsi="宋体"/>
                <w:szCs w:val="21"/>
              </w:rPr>
              <w:t>。</w:t>
            </w:r>
          </w:p>
          <w:p>
            <w:pPr>
              <w:tabs>
                <w:tab w:val="left" w:pos="3060"/>
              </w:tabs>
              <w:spacing w:line="300" w:lineRule="exact"/>
              <w:ind w:firstLine="210" w:firstLineChars="100"/>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）投标人在未提交两个以上不同的投标文件或备选方案。</w:t>
            </w:r>
          </w:p>
          <w:p>
            <w:pPr>
              <w:tabs>
                <w:tab w:val="left" w:pos="3060"/>
              </w:tabs>
              <w:spacing w:line="300" w:lineRule="exact"/>
              <w:ind w:firstLine="210" w:firstLineChars="10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）投标文件中未出现有关投标报价的内容。</w:t>
            </w:r>
          </w:p>
          <w:p>
            <w:pPr>
              <w:tabs>
                <w:tab w:val="left" w:pos="3060"/>
              </w:tabs>
              <w:spacing w:line="300" w:lineRule="exact"/>
              <w:ind w:firstLine="210" w:firstLineChars="100"/>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）投标文件载明的招标项目完成期限未超过招标文件规定的时限。</w:t>
            </w:r>
          </w:p>
          <w:p>
            <w:pPr>
              <w:tabs>
                <w:tab w:val="left" w:pos="3060"/>
              </w:tabs>
              <w:spacing w:line="300" w:lineRule="exact"/>
              <w:ind w:firstLine="210" w:firstLineChars="100"/>
              <w:rPr>
                <w:rFonts w:ascii="宋体" w:hAnsi="宋体"/>
                <w:szCs w:val="21"/>
              </w:rPr>
            </w:pPr>
            <w:r>
              <w:rPr>
                <w:rFonts w:hint="eastAsia" w:ascii="宋体" w:hAnsi="宋体"/>
                <w:szCs w:val="21"/>
              </w:rPr>
              <w:t>（</w:t>
            </w:r>
            <w:r>
              <w:rPr>
                <w:rFonts w:ascii="宋体" w:hAnsi="宋体"/>
                <w:szCs w:val="21"/>
              </w:rPr>
              <w:t>11</w:t>
            </w:r>
            <w:r>
              <w:rPr>
                <w:rFonts w:hint="eastAsia" w:ascii="宋体" w:hAnsi="宋体"/>
                <w:szCs w:val="21"/>
              </w:rPr>
              <w:t>）投标文件对招标文件的实质性要求和条件作出响应。</w:t>
            </w:r>
          </w:p>
          <w:p>
            <w:pPr>
              <w:tabs>
                <w:tab w:val="left" w:pos="3060"/>
              </w:tabs>
              <w:spacing w:line="300" w:lineRule="exact"/>
              <w:ind w:firstLine="210" w:firstLineChars="1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）权利义务符合招标文件规定：</w:t>
            </w:r>
          </w:p>
          <w:p>
            <w:pPr>
              <w:tabs>
                <w:tab w:val="left" w:pos="3060"/>
              </w:tabs>
              <w:spacing w:line="300" w:lineRule="exact"/>
              <w:ind w:firstLine="210" w:firstLineChars="100"/>
              <w:rPr>
                <w:rFonts w:ascii="宋体" w:hAnsi="宋体"/>
                <w:szCs w:val="21"/>
              </w:rPr>
            </w:pPr>
            <w:r>
              <w:rPr>
                <w:rFonts w:hint="eastAsia" w:ascii="宋体" w:hAnsi="宋体"/>
                <w:szCs w:val="21"/>
              </w:rPr>
              <w:t>a.投标人应接受招标文件规定的风险划分原则，未提出新的风险划分办法；</w:t>
            </w:r>
          </w:p>
          <w:p>
            <w:pPr>
              <w:tabs>
                <w:tab w:val="left" w:pos="3060"/>
              </w:tabs>
              <w:spacing w:line="300" w:lineRule="exact"/>
              <w:ind w:firstLine="210" w:firstLineChars="100"/>
              <w:rPr>
                <w:rFonts w:ascii="宋体" w:hAnsi="宋体"/>
                <w:szCs w:val="21"/>
              </w:rPr>
            </w:pPr>
            <w:r>
              <w:rPr>
                <w:rFonts w:hint="eastAsia" w:ascii="宋体" w:hAnsi="宋体"/>
                <w:szCs w:val="21"/>
              </w:rPr>
              <w:t>b.投标人未增加委托人的责任范围，或减少投标人义务；</w:t>
            </w:r>
          </w:p>
          <w:p>
            <w:pPr>
              <w:tabs>
                <w:tab w:val="left" w:pos="3060"/>
              </w:tabs>
              <w:spacing w:line="300" w:lineRule="exact"/>
              <w:ind w:firstLine="210" w:firstLineChars="100"/>
              <w:rPr>
                <w:rFonts w:ascii="宋体" w:hAnsi="宋体"/>
                <w:szCs w:val="21"/>
              </w:rPr>
            </w:pPr>
            <w:r>
              <w:rPr>
                <w:rFonts w:hint="eastAsia" w:ascii="宋体" w:hAnsi="宋体"/>
                <w:szCs w:val="21"/>
              </w:rPr>
              <w:t>c.投标人未提出不同的支付办法；</w:t>
            </w:r>
          </w:p>
          <w:p>
            <w:pPr>
              <w:tabs>
                <w:tab w:val="left" w:pos="3060"/>
              </w:tabs>
              <w:spacing w:line="300" w:lineRule="exact"/>
              <w:ind w:firstLine="210" w:firstLineChars="100"/>
              <w:rPr>
                <w:rFonts w:ascii="宋体" w:hAnsi="宋体"/>
                <w:szCs w:val="21"/>
              </w:rPr>
            </w:pPr>
            <w:r>
              <w:rPr>
                <w:rFonts w:hint="eastAsia" w:ascii="宋体" w:hAnsi="宋体"/>
                <w:szCs w:val="21"/>
              </w:rPr>
              <w:t>d.投标人对合同纠纷、事故处理办法未提出异议；</w:t>
            </w:r>
          </w:p>
          <w:p>
            <w:pPr>
              <w:tabs>
                <w:tab w:val="left" w:pos="3060"/>
              </w:tabs>
              <w:spacing w:line="300" w:lineRule="exact"/>
              <w:ind w:firstLine="210" w:firstLineChars="100"/>
              <w:rPr>
                <w:rFonts w:ascii="宋体" w:hAnsi="宋体"/>
                <w:szCs w:val="21"/>
              </w:rPr>
            </w:pPr>
            <w:r>
              <w:rPr>
                <w:rFonts w:hint="eastAsia" w:ascii="宋体" w:hAnsi="宋体"/>
                <w:szCs w:val="21"/>
              </w:rPr>
              <w:t>e.投标人在投标活动中无欺诈行为；</w:t>
            </w:r>
          </w:p>
          <w:p>
            <w:pPr>
              <w:tabs>
                <w:tab w:val="left" w:pos="3060"/>
              </w:tabs>
              <w:spacing w:line="300" w:lineRule="exact"/>
              <w:ind w:firstLine="210" w:firstLineChars="100"/>
              <w:rPr>
                <w:rFonts w:ascii="宋体" w:hAnsi="宋体"/>
                <w:szCs w:val="21"/>
              </w:rPr>
            </w:pPr>
            <w:r>
              <w:rPr>
                <w:rFonts w:hint="eastAsia" w:ascii="宋体" w:hAnsi="宋体"/>
                <w:szCs w:val="21"/>
              </w:rPr>
              <w:t>f.投标人未对合同条款有重要保留。</w:t>
            </w:r>
          </w:p>
          <w:p>
            <w:pPr>
              <w:tabs>
                <w:tab w:val="left" w:pos="3060"/>
              </w:tabs>
              <w:spacing w:line="300" w:lineRule="exact"/>
              <w:ind w:firstLine="210" w:firstLineChars="100"/>
              <w:rPr>
                <w:rFonts w:ascii="宋体" w:hAnsi="宋体"/>
                <w:szCs w:val="21"/>
              </w:rPr>
            </w:pPr>
          </w:p>
          <w:p>
            <w:pPr>
              <w:tabs>
                <w:tab w:val="left" w:pos="3060"/>
              </w:tabs>
              <w:spacing w:line="300" w:lineRule="exact"/>
              <w:rPr>
                <w:rFonts w:ascii="宋体" w:hAnsi="宋体"/>
                <w:b/>
                <w:szCs w:val="21"/>
              </w:rPr>
            </w:pPr>
            <w:r>
              <w:rPr>
                <w:rFonts w:hint="eastAsia" w:ascii="宋体" w:hAnsi="宋体"/>
                <w:b/>
                <w:szCs w:val="21"/>
              </w:rPr>
              <w:t>第二个信封（报价文件）评审标准：</w:t>
            </w:r>
          </w:p>
          <w:p>
            <w:pPr>
              <w:tabs>
                <w:tab w:val="left" w:pos="3060"/>
              </w:tabs>
              <w:spacing w:line="300" w:lineRule="exact"/>
              <w:ind w:firstLine="210" w:firstLineChars="100"/>
              <w:rPr>
                <w:rFonts w:ascii="宋体" w:hAnsi="宋体"/>
                <w:szCs w:val="21"/>
              </w:rPr>
            </w:pPr>
            <w:r>
              <w:rPr>
                <w:rFonts w:hint="eastAsia" w:ascii="宋体" w:hAnsi="宋体"/>
                <w:szCs w:val="21"/>
              </w:rPr>
              <w:t>（1）投标文件按照招标文件规定的格式、内容填写，字迹清晰可辨，内容齐全完整：</w:t>
            </w:r>
          </w:p>
          <w:p>
            <w:pPr>
              <w:tabs>
                <w:tab w:val="left" w:pos="3060"/>
              </w:tabs>
              <w:spacing w:line="300" w:lineRule="exact"/>
              <w:ind w:firstLine="420" w:firstLineChars="200"/>
              <w:rPr>
                <w:rFonts w:ascii="宋体" w:hAnsi="宋体"/>
                <w:szCs w:val="21"/>
              </w:rPr>
            </w:pPr>
            <w:r>
              <w:rPr>
                <w:rFonts w:hint="eastAsia" w:ascii="宋体" w:hAnsi="宋体"/>
                <w:szCs w:val="21"/>
              </w:rPr>
              <w:t>a．投标函按招标文件规定填报了招标人名称、项目名称、补遗书编号（如有）、投标价（包括大写金额和小写金额）；</w:t>
            </w:r>
          </w:p>
          <w:p>
            <w:pPr>
              <w:tabs>
                <w:tab w:val="left" w:pos="3060"/>
              </w:tabs>
              <w:spacing w:line="300" w:lineRule="exact"/>
              <w:ind w:firstLine="420" w:firstLineChars="200"/>
              <w:rPr>
                <w:rFonts w:ascii="宋体" w:hAnsi="宋体"/>
                <w:szCs w:val="21"/>
              </w:rPr>
            </w:pPr>
            <w:r>
              <w:rPr>
                <w:rFonts w:hint="eastAsia" w:ascii="宋体" w:hAnsi="宋体"/>
                <w:szCs w:val="21"/>
              </w:rPr>
              <w:t>b．投标文件组成齐全完整，内容均按规定填写。</w:t>
            </w:r>
          </w:p>
          <w:p>
            <w:pPr>
              <w:tabs>
                <w:tab w:val="left" w:pos="3060"/>
              </w:tabs>
              <w:spacing w:line="300" w:lineRule="exact"/>
              <w:ind w:firstLine="205" w:firstLineChars="98"/>
              <w:rPr>
                <w:rFonts w:ascii="宋体" w:hAnsi="宋体"/>
                <w:bCs/>
                <w:szCs w:val="21"/>
              </w:rPr>
            </w:pPr>
            <w:r>
              <w:rPr>
                <w:rFonts w:hint="eastAsia" w:ascii="宋体" w:hAnsi="宋体"/>
                <w:bCs/>
                <w:szCs w:val="21"/>
              </w:rPr>
              <w:t>（2）投标文件上法定代表人或其授权代理人的签字、投标人的单位章盖章齐全，符合招标文件规定。</w:t>
            </w:r>
          </w:p>
          <w:p>
            <w:pPr>
              <w:tabs>
                <w:tab w:val="left" w:pos="3060"/>
              </w:tabs>
              <w:spacing w:line="320" w:lineRule="exact"/>
              <w:ind w:firstLine="205" w:firstLineChars="98"/>
              <w:rPr>
                <w:rFonts w:ascii="宋体" w:hAnsi="宋体"/>
                <w:bCs/>
                <w:szCs w:val="21"/>
              </w:rPr>
            </w:pPr>
            <w:r>
              <w:rPr>
                <w:rFonts w:hint="eastAsia" w:ascii="宋体" w:hAnsi="宋体"/>
                <w:bCs/>
                <w:szCs w:val="21"/>
              </w:rPr>
              <w:t>（</w:t>
            </w:r>
            <w:r>
              <w:rPr>
                <w:rFonts w:ascii="宋体" w:hAnsi="宋体"/>
                <w:bCs/>
                <w:szCs w:val="21"/>
              </w:rPr>
              <w:t>3</w:t>
            </w:r>
            <w:r>
              <w:rPr>
                <w:rFonts w:hint="eastAsia" w:ascii="宋体" w:hAnsi="宋体"/>
                <w:bCs/>
                <w:szCs w:val="21"/>
              </w:rPr>
              <w:t>）投标报价未超过招标文件设定的最高投标限价。</w:t>
            </w:r>
          </w:p>
          <w:p>
            <w:pPr>
              <w:tabs>
                <w:tab w:val="left" w:pos="3060"/>
              </w:tabs>
              <w:spacing w:line="320" w:lineRule="exact"/>
              <w:ind w:firstLine="205" w:firstLineChars="98"/>
              <w:rPr>
                <w:rFonts w:ascii="宋体" w:hAnsi="宋体"/>
                <w:bCs/>
                <w:szCs w:val="21"/>
              </w:rPr>
            </w:pPr>
            <w:r>
              <w:rPr>
                <w:rFonts w:hint="eastAsia" w:ascii="宋体" w:hAnsi="宋体"/>
                <w:bCs/>
                <w:szCs w:val="21"/>
              </w:rPr>
              <w:t>（</w:t>
            </w:r>
            <w:r>
              <w:rPr>
                <w:rFonts w:ascii="宋体" w:hAnsi="宋体"/>
                <w:bCs/>
                <w:szCs w:val="21"/>
              </w:rPr>
              <w:t>4</w:t>
            </w:r>
            <w:r>
              <w:rPr>
                <w:rFonts w:hint="eastAsia" w:ascii="宋体" w:hAnsi="宋体"/>
                <w:bCs/>
                <w:szCs w:val="21"/>
              </w:rPr>
              <w:t>）投标报价大写金额能够确定具体数值。</w:t>
            </w:r>
          </w:p>
          <w:p>
            <w:pPr>
              <w:tabs>
                <w:tab w:val="left" w:pos="3060"/>
              </w:tabs>
              <w:spacing w:line="300" w:lineRule="exact"/>
              <w:ind w:firstLine="205" w:firstLineChars="98"/>
              <w:rPr>
                <w:rFonts w:ascii="宋体" w:hAnsi="宋体"/>
                <w:bCs/>
                <w:szCs w:val="21"/>
              </w:rPr>
            </w:pPr>
            <w:r>
              <w:rPr>
                <w:rFonts w:hint="eastAsia" w:ascii="宋体" w:hAnsi="宋体"/>
                <w:bCs/>
                <w:szCs w:val="21"/>
              </w:rPr>
              <w:t>（</w:t>
            </w:r>
            <w:r>
              <w:rPr>
                <w:rFonts w:ascii="宋体" w:hAnsi="宋体"/>
                <w:bCs/>
                <w:szCs w:val="21"/>
              </w:rPr>
              <w:t>5</w:t>
            </w:r>
            <w:r>
              <w:rPr>
                <w:rFonts w:hint="eastAsia" w:ascii="宋体" w:hAnsi="宋体"/>
                <w:bCs/>
                <w:szCs w:val="21"/>
              </w:rPr>
              <w:t>）投标人未提交两个以上不同的投标报价。</w:t>
            </w:r>
          </w:p>
          <w:p>
            <w:pPr>
              <w:tabs>
                <w:tab w:val="left" w:pos="3060"/>
              </w:tabs>
              <w:spacing w:line="300" w:lineRule="exact"/>
              <w:ind w:firstLine="205" w:firstLineChars="98"/>
              <w:rPr>
                <w:rFonts w:ascii="宋体" w:hAnsi="宋体"/>
                <w:bCs/>
                <w:szCs w:val="21"/>
              </w:rPr>
            </w:pPr>
            <w:r>
              <w:rPr>
                <w:rFonts w:hint="eastAsia" w:ascii="宋体" w:hAnsi="宋体"/>
                <w:bCs/>
                <w:szCs w:val="21"/>
              </w:rPr>
              <w:t>（6）投标人未提交调价函。</w:t>
            </w:r>
          </w:p>
          <w:p>
            <w:pPr>
              <w:tabs>
                <w:tab w:val="left" w:pos="3060"/>
              </w:tabs>
              <w:spacing w:line="300" w:lineRule="exact"/>
              <w:ind w:firstLine="205" w:firstLineChars="98"/>
              <w:rPr>
                <w:rFonts w:ascii="宋体" w:hAnsi="宋体"/>
                <w:bCs/>
                <w:szCs w:val="21"/>
              </w:rPr>
            </w:pPr>
            <w:r>
              <w:rPr>
                <w:rFonts w:hint="eastAsia" w:ascii="宋体" w:hAnsi="宋体"/>
                <w:bCs/>
                <w:szCs w:val="21"/>
              </w:rPr>
              <w:t>（7）报价清单中的投标报价和投标函大写金额报价一致。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817" w:type="dxa"/>
            <w:vAlign w:val="center"/>
          </w:tcPr>
          <w:p>
            <w:pPr>
              <w:jc w:val="center"/>
              <w:rPr>
                <w:rFonts w:ascii="宋体" w:hAnsi="宋体"/>
              </w:rPr>
            </w:pPr>
            <w:r>
              <w:rPr>
                <w:rFonts w:ascii="宋体" w:hAnsi="宋体"/>
              </w:rPr>
              <w:t>2.1.2</w:t>
            </w:r>
          </w:p>
        </w:tc>
        <w:tc>
          <w:tcPr>
            <w:tcW w:w="1141" w:type="dxa"/>
            <w:vAlign w:val="center"/>
          </w:tcPr>
          <w:p>
            <w:pPr>
              <w:jc w:val="center"/>
              <w:rPr>
                <w:rFonts w:ascii="宋体" w:hAnsi="宋体"/>
              </w:rPr>
            </w:pPr>
            <w:r>
              <w:rPr>
                <w:rFonts w:hint="eastAsia" w:ascii="宋体" w:hAnsi="宋体"/>
              </w:rPr>
              <w:t>资格评审标准</w:t>
            </w:r>
          </w:p>
        </w:tc>
        <w:tc>
          <w:tcPr>
            <w:tcW w:w="7648" w:type="dxa"/>
            <w:vAlign w:val="center"/>
          </w:tcPr>
          <w:p>
            <w:pPr>
              <w:tabs>
                <w:tab w:val="left" w:pos="3060"/>
              </w:tabs>
              <w:spacing w:line="300" w:lineRule="exact"/>
              <w:ind w:firstLine="205" w:firstLineChars="98"/>
              <w:rPr>
                <w:rFonts w:ascii="宋体" w:hAnsi="宋体"/>
                <w:bCs/>
                <w:szCs w:val="21"/>
              </w:rPr>
            </w:pPr>
            <w:r>
              <w:rPr>
                <w:rFonts w:hint="eastAsia" w:ascii="宋体" w:hAnsi="宋体"/>
                <w:bCs/>
                <w:szCs w:val="21"/>
              </w:rPr>
              <w:t>（1）投标人具备有效的营业执照（或事业单位法人证书）、基本账户开户许可证（或基本存款账户信息）；</w:t>
            </w:r>
          </w:p>
          <w:p>
            <w:pPr>
              <w:tabs>
                <w:tab w:val="left" w:pos="3060"/>
              </w:tabs>
              <w:spacing w:line="300" w:lineRule="exact"/>
              <w:ind w:firstLine="205" w:firstLineChars="98"/>
              <w:rPr>
                <w:rFonts w:ascii="宋体" w:hAnsi="宋体"/>
                <w:bCs/>
                <w:szCs w:val="21"/>
              </w:rPr>
            </w:pPr>
            <w:r>
              <w:rPr>
                <w:rFonts w:hint="eastAsia" w:ascii="宋体" w:hAnsi="宋体"/>
                <w:bCs/>
                <w:szCs w:val="21"/>
              </w:rPr>
              <w:t>（2）投标人的类似项目业绩符合招标文件规定；</w:t>
            </w:r>
          </w:p>
          <w:p>
            <w:pPr>
              <w:tabs>
                <w:tab w:val="left" w:pos="3060"/>
              </w:tabs>
              <w:spacing w:line="300" w:lineRule="exact"/>
              <w:ind w:firstLine="205" w:firstLineChars="98"/>
              <w:rPr>
                <w:rFonts w:ascii="宋体" w:hAnsi="宋体"/>
                <w:bCs/>
                <w:szCs w:val="21"/>
              </w:rPr>
            </w:pPr>
            <w:r>
              <w:rPr>
                <w:rFonts w:hint="eastAsia" w:ascii="宋体" w:hAnsi="宋体"/>
                <w:bCs/>
                <w:szCs w:val="21"/>
              </w:rPr>
              <w:t>（</w:t>
            </w:r>
            <w:r>
              <w:rPr>
                <w:rFonts w:ascii="宋体" w:hAnsi="宋体"/>
                <w:bCs/>
                <w:szCs w:val="21"/>
              </w:rPr>
              <w:t>3</w:t>
            </w:r>
            <w:r>
              <w:rPr>
                <w:rFonts w:hint="eastAsia" w:ascii="宋体" w:hAnsi="宋体"/>
                <w:bCs/>
                <w:szCs w:val="21"/>
              </w:rPr>
              <w:t>）投标人的信誉符合招标文件规定；</w:t>
            </w:r>
          </w:p>
          <w:p>
            <w:pPr>
              <w:tabs>
                <w:tab w:val="left" w:pos="3060"/>
              </w:tabs>
              <w:spacing w:line="300" w:lineRule="exact"/>
              <w:ind w:firstLine="205" w:firstLineChars="98"/>
              <w:rPr>
                <w:rFonts w:ascii="宋体" w:hAnsi="宋体"/>
                <w:bCs/>
                <w:szCs w:val="21"/>
              </w:rPr>
            </w:pPr>
            <w:r>
              <w:rPr>
                <w:rFonts w:hint="eastAsia" w:ascii="宋体" w:hAnsi="宋体"/>
                <w:bCs/>
                <w:szCs w:val="21"/>
              </w:rPr>
              <w:t>（</w:t>
            </w:r>
            <w:r>
              <w:rPr>
                <w:rFonts w:ascii="宋体" w:hAnsi="宋体"/>
                <w:bCs/>
                <w:szCs w:val="21"/>
              </w:rPr>
              <w:t>4</w:t>
            </w:r>
            <w:r>
              <w:rPr>
                <w:rFonts w:hint="eastAsia" w:ascii="宋体" w:hAnsi="宋体"/>
                <w:bCs/>
                <w:szCs w:val="21"/>
              </w:rPr>
              <w:t xml:space="preserve">）投标人的项目负责人资格符合招标文件规定； </w:t>
            </w:r>
          </w:p>
          <w:p>
            <w:pPr>
              <w:tabs>
                <w:tab w:val="left" w:pos="3060"/>
              </w:tabs>
              <w:spacing w:line="300" w:lineRule="exact"/>
              <w:ind w:firstLine="205" w:firstLineChars="98"/>
              <w:rPr>
                <w:rFonts w:ascii="宋体" w:hAnsi="宋体"/>
                <w:szCs w:val="21"/>
              </w:rPr>
            </w:pPr>
            <w:r>
              <w:rPr>
                <w:rFonts w:hint="eastAsia" w:ascii="宋体" w:hAnsi="宋体"/>
                <w:bCs/>
                <w:szCs w:val="21"/>
              </w:rPr>
              <w:t>（</w:t>
            </w:r>
            <w:r>
              <w:rPr>
                <w:rFonts w:ascii="宋体" w:hAnsi="宋体"/>
                <w:bCs/>
                <w:szCs w:val="21"/>
              </w:rPr>
              <w:t>5</w:t>
            </w:r>
            <w:r>
              <w:rPr>
                <w:rFonts w:hint="eastAsia" w:ascii="宋体" w:hAnsi="宋体"/>
                <w:bCs/>
                <w:szCs w:val="21"/>
              </w:rPr>
              <w:t>）投标人不存在第二章“投标人须知”第1.4.3项或第1.4.4项规定的任何一种情形。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rPr>
            </w:pPr>
            <w:r>
              <w:rPr>
                <w:rFonts w:ascii="宋体" w:hAnsi="宋体"/>
              </w:rPr>
              <w:t>2.2.1</w:t>
            </w:r>
          </w:p>
        </w:tc>
        <w:tc>
          <w:tcPr>
            <w:tcW w:w="1141" w:type="dxa"/>
            <w:vAlign w:val="center"/>
          </w:tcPr>
          <w:p>
            <w:pPr>
              <w:jc w:val="center"/>
              <w:rPr>
                <w:rFonts w:ascii="宋体" w:hAnsi="宋体"/>
              </w:rPr>
            </w:pPr>
            <w:r>
              <w:rPr>
                <w:rFonts w:hint="eastAsia" w:ascii="宋体" w:hAnsi="宋体"/>
              </w:rPr>
              <w:t>分值构成（总分100分）</w:t>
            </w:r>
          </w:p>
        </w:tc>
        <w:tc>
          <w:tcPr>
            <w:tcW w:w="7648" w:type="dxa"/>
            <w:vAlign w:val="center"/>
          </w:tcPr>
          <w:p>
            <w:pPr>
              <w:jc w:val="left"/>
              <w:rPr>
                <w:rFonts w:ascii="宋体" w:hAnsi="宋体"/>
                <w:b/>
              </w:rPr>
            </w:pPr>
            <w:r>
              <w:rPr>
                <w:rFonts w:hint="eastAsia" w:ascii="宋体" w:hAnsi="宋体"/>
                <w:b/>
              </w:rPr>
              <w:t>第一个信封（商务及技术文件）评分分值构成：</w:t>
            </w:r>
          </w:p>
          <w:p>
            <w:pPr>
              <w:jc w:val="left"/>
              <w:rPr>
                <w:rFonts w:ascii="宋体" w:hAnsi="宋体"/>
                <w:b/>
              </w:rPr>
            </w:pPr>
            <w:r>
              <w:rPr>
                <w:rFonts w:hint="eastAsia" w:ascii="宋体" w:hAnsi="宋体"/>
                <w:b/>
              </w:rPr>
              <w:t>技术建议书：</w:t>
            </w:r>
            <w:r>
              <w:rPr>
                <w:rFonts w:hint="eastAsia" w:ascii="宋体" w:hAnsi="宋体"/>
                <w:b/>
                <w:u w:val="single"/>
              </w:rPr>
              <w:t>45</w:t>
            </w:r>
            <w:r>
              <w:rPr>
                <w:rFonts w:hint="eastAsia" w:ascii="宋体" w:hAnsi="宋体"/>
                <w:b/>
              </w:rPr>
              <w:t>分</w:t>
            </w:r>
          </w:p>
          <w:p>
            <w:pPr>
              <w:jc w:val="left"/>
              <w:rPr>
                <w:rFonts w:ascii="宋体" w:hAnsi="宋体"/>
                <w:b/>
              </w:rPr>
            </w:pPr>
            <w:r>
              <w:rPr>
                <w:rFonts w:hint="eastAsia" w:ascii="宋体" w:hAnsi="宋体"/>
                <w:b/>
              </w:rPr>
              <w:t>主要人员：</w:t>
            </w:r>
            <w:r>
              <w:rPr>
                <w:rFonts w:ascii="宋体" w:hAnsi="宋体"/>
                <w:b/>
                <w:u w:val="single"/>
              </w:rPr>
              <w:t>20</w:t>
            </w:r>
            <w:r>
              <w:rPr>
                <w:rFonts w:hint="eastAsia" w:ascii="宋体" w:hAnsi="宋体"/>
                <w:b/>
              </w:rPr>
              <w:t>分</w:t>
            </w:r>
          </w:p>
          <w:p>
            <w:pPr>
              <w:jc w:val="left"/>
              <w:rPr>
                <w:rFonts w:ascii="宋体" w:hAnsi="宋体"/>
                <w:b/>
              </w:rPr>
            </w:pPr>
            <w:r>
              <w:rPr>
                <w:rFonts w:hint="eastAsia" w:ascii="宋体" w:hAnsi="宋体"/>
                <w:b/>
              </w:rPr>
              <w:t>其他因素：</w:t>
            </w:r>
            <w:r>
              <w:rPr>
                <w:rFonts w:hint="eastAsia" w:ascii="宋体" w:hAnsi="宋体"/>
                <w:b/>
                <w:u w:val="single"/>
              </w:rPr>
              <w:t>2</w:t>
            </w:r>
            <w:r>
              <w:rPr>
                <w:rFonts w:ascii="宋体" w:hAnsi="宋体"/>
                <w:b/>
                <w:u w:val="single"/>
              </w:rPr>
              <w:t>5</w:t>
            </w:r>
            <w:r>
              <w:rPr>
                <w:rFonts w:hint="eastAsia" w:ascii="宋体" w:hAnsi="宋体"/>
                <w:b/>
              </w:rPr>
              <w:t>分</w:t>
            </w:r>
          </w:p>
          <w:p>
            <w:pPr>
              <w:jc w:val="left"/>
              <w:rPr>
                <w:rFonts w:ascii="宋体" w:hAnsi="宋体"/>
                <w:b/>
              </w:rPr>
            </w:pPr>
          </w:p>
          <w:p>
            <w:pPr>
              <w:jc w:val="left"/>
              <w:rPr>
                <w:rFonts w:ascii="宋体" w:hAnsi="宋体"/>
                <w:b/>
              </w:rPr>
            </w:pPr>
            <w:r>
              <w:rPr>
                <w:rFonts w:hint="eastAsia" w:ascii="宋体" w:hAnsi="宋体"/>
                <w:b/>
              </w:rPr>
              <w:t>第二个信封（报价文件）评分分值构成：</w:t>
            </w:r>
          </w:p>
          <w:p>
            <w:pPr>
              <w:jc w:val="left"/>
              <w:rPr>
                <w:rFonts w:ascii="宋体" w:hAnsi="宋体"/>
                <w:b/>
              </w:rPr>
            </w:pPr>
            <w:r>
              <w:rPr>
                <w:rFonts w:hint="eastAsia" w:ascii="宋体" w:hAnsi="宋体"/>
                <w:b/>
              </w:rPr>
              <w:t>评标价：</w:t>
            </w:r>
            <w:r>
              <w:rPr>
                <w:rFonts w:hint="eastAsia" w:ascii="宋体" w:hAnsi="宋体"/>
                <w:b/>
                <w:u w:val="single"/>
              </w:rPr>
              <w:t>1</w:t>
            </w:r>
            <w:r>
              <w:rPr>
                <w:rFonts w:ascii="宋体" w:hAnsi="宋体"/>
                <w:b/>
                <w:u w:val="single"/>
              </w:rPr>
              <w:t>0</w:t>
            </w:r>
            <w:r>
              <w:rPr>
                <w:rFonts w:hint="eastAsia" w:ascii="宋体" w:hAnsi="宋体"/>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rPr>
            </w:pPr>
            <w:r>
              <w:rPr>
                <w:rFonts w:ascii="宋体" w:hAnsi="宋体"/>
              </w:rPr>
              <w:t>2.2.2</w:t>
            </w:r>
          </w:p>
        </w:tc>
        <w:tc>
          <w:tcPr>
            <w:tcW w:w="1141" w:type="dxa"/>
            <w:vAlign w:val="center"/>
          </w:tcPr>
          <w:p>
            <w:pPr>
              <w:jc w:val="center"/>
              <w:rPr>
                <w:rFonts w:ascii="宋体" w:hAnsi="宋体"/>
              </w:rPr>
            </w:pPr>
            <w:r>
              <w:rPr>
                <w:rFonts w:hint="eastAsia" w:ascii="宋体" w:hAnsi="宋体"/>
              </w:rPr>
              <w:t>评标基准价计算方法</w:t>
            </w:r>
          </w:p>
        </w:tc>
        <w:tc>
          <w:tcPr>
            <w:tcW w:w="7648" w:type="dxa"/>
            <w:vAlign w:val="center"/>
          </w:tcPr>
          <w:p>
            <w:pPr>
              <w:snapToGrid w:val="0"/>
              <w:spacing w:line="320" w:lineRule="exact"/>
              <w:jc w:val="left"/>
              <w:rPr>
                <w:rFonts w:ascii="宋体" w:hAnsi="宋体"/>
                <w:b/>
              </w:rPr>
            </w:pPr>
            <w:r>
              <w:rPr>
                <w:rFonts w:hint="eastAsia" w:ascii="宋体" w:hAnsi="宋体"/>
                <w:b/>
              </w:rPr>
              <w:t>评标基准价的计算：</w:t>
            </w:r>
          </w:p>
          <w:p>
            <w:pPr>
              <w:snapToGrid w:val="0"/>
              <w:spacing w:line="320" w:lineRule="exact"/>
              <w:ind w:right="113"/>
              <w:rPr>
                <w:rFonts w:ascii="宋体" w:hAnsi="宋体"/>
                <w:szCs w:val="21"/>
              </w:rPr>
            </w:pPr>
            <w:r>
              <w:rPr>
                <w:rFonts w:hint="eastAsia" w:ascii="宋体" w:hAnsi="宋体"/>
                <w:szCs w:val="21"/>
              </w:rPr>
              <w:t>在开标现场，招标人将当场计算并宣布评标基准价。</w:t>
            </w:r>
          </w:p>
          <w:p>
            <w:pPr>
              <w:snapToGrid w:val="0"/>
              <w:spacing w:line="320" w:lineRule="exact"/>
              <w:ind w:left="113" w:right="113" w:firstLine="210" w:firstLineChars="100"/>
              <w:rPr>
                <w:rFonts w:ascii="宋体" w:hAnsi="宋体"/>
                <w:szCs w:val="21"/>
              </w:rPr>
            </w:pPr>
            <w:r>
              <w:rPr>
                <w:rFonts w:hint="eastAsia" w:ascii="宋体" w:hAnsi="宋体"/>
                <w:szCs w:val="21"/>
              </w:rPr>
              <w:t>（1）评标价的确定：</w:t>
            </w:r>
          </w:p>
          <w:p>
            <w:pPr>
              <w:snapToGrid w:val="0"/>
              <w:spacing w:line="320" w:lineRule="exact"/>
              <w:ind w:left="113" w:right="113" w:firstLine="210" w:firstLineChars="100"/>
              <w:rPr>
                <w:rFonts w:ascii="宋体" w:hAnsi="宋体"/>
                <w:szCs w:val="21"/>
              </w:rPr>
            </w:pPr>
            <w:r>
              <w:rPr>
                <w:rFonts w:hint="eastAsia" w:ascii="宋体" w:hAnsi="宋体"/>
                <w:szCs w:val="21"/>
              </w:rPr>
              <w:t>评标价=投标函文字报价</w:t>
            </w:r>
          </w:p>
          <w:p>
            <w:pPr>
              <w:snapToGrid w:val="0"/>
              <w:spacing w:line="320" w:lineRule="exact"/>
              <w:ind w:left="113" w:right="113" w:firstLine="210" w:firstLineChars="100"/>
              <w:rPr>
                <w:rFonts w:ascii="宋体" w:hAnsi="宋体"/>
                <w:szCs w:val="21"/>
              </w:rPr>
            </w:pPr>
            <w:r>
              <w:rPr>
                <w:rFonts w:hint="eastAsia" w:ascii="宋体" w:hAnsi="宋体"/>
                <w:szCs w:val="21"/>
              </w:rPr>
              <w:t>（2）评标价平均值的计算：</w:t>
            </w:r>
          </w:p>
          <w:p>
            <w:pPr>
              <w:snapToGrid w:val="0"/>
              <w:spacing w:line="320" w:lineRule="exact"/>
              <w:ind w:right="113" w:firstLine="426" w:firstLineChars="203"/>
              <w:rPr>
                <w:rFonts w:ascii="宋体" w:hAnsi="宋体"/>
                <w:szCs w:val="21"/>
              </w:rPr>
            </w:pPr>
            <w:r>
              <w:rPr>
                <w:rFonts w:hint="eastAsia" w:ascii="宋体" w:hAnsi="宋体"/>
                <w:szCs w:val="21"/>
              </w:rPr>
              <w:t>按第一信封（商务及技术文件）评审得分由高到低的顺序选取前三名（若不足三名，则选取相应数量），对其第二个信封 (报价文件）的评标价作算术平均（根据第二章“投标人须知”第5.2.4 项规定在开标现场被宣布为不进入评标基准价计算的投标报价除外），将该平均值作为评标价平均值。</w:t>
            </w:r>
          </w:p>
          <w:p>
            <w:pPr>
              <w:snapToGrid w:val="0"/>
              <w:spacing w:line="320" w:lineRule="exact"/>
              <w:ind w:right="113" w:firstLine="426" w:firstLineChars="203"/>
              <w:rPr>
                <w:rFonts w:ascii="宋体" w:hAnsi="宋体"/>
                <w:szCs w:val="21"/>
              </w:rPr>
            </w:pPr>
            <w:r>
              <w:rPr>
                <w:rFonts w:hint="eastAsia" w:ascii="宋体" w:hAnsi="宋体"/>
                <w:szCs w:val="21"/>
              </w:rPr>
              <w:t>（3）评标基准价的确定：</w:t>
            </w:r>
          </w:p>
          <w:p>
            <w:pPr>
              <w:snapToGrid w:val="0"/>
              <w:spacing w:line="320" w:lineRule="exact"/>
              <w:ind w:right="113" w:firstLine="426" w:firstLineChars="203"/>
              <w:rPr>
                <w:rFonts w:ascii="宋体" w:hAnsi="宋体"/>
                <w:szCs w:val="21"/>
              </w:rPr>
            </w:pPr>
            <w:r>
              <w:rPr>
                <w:rFonts w:hint="eastAsia" w:ascii="宋体" w:hAnsi="宋体"/>
                <w:szCs w:val="21"/>
              </w:rPr>
              <w:t>将评标价平均值直接作为评标基准价（评标基准价保留小数点后两位，小数点后第三位四舍五入）。</w:t>
            </w:r>
          </w:p>
          <w:p>
            <w:pPr>
              <w:snapToGrid w:val="0"/>
              <w:spacing w:line="320" w:lineRule="exact"/>
              <w:ind w:firstLine="420" w:firstLineChars="200"/>
              <w:jc w:val="left"/>
              <w:rPr>
                <w:rFonts w:ascii="宋体" w:hAnsi="宋体"/>
              </w:rPr>
            </w:pPr>
            <w:r>
              <w:rPr>
                <w:rFonts w:hint="eastAsia" w:ascii="宋体" w:hAnsi="宋体"/>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rPr>
            </w:pPr>
            <w:r>
              <w:rPr>
                <w:rFonts w:ascii="宋体" w:hAnsi="宋体"/>
              </w:rPr>
              <w:t>2.2.3</w:t>
            </w:r>
          </w:p>
        </w:tc>
        <w:tc>
          <w:tcPr>
            <w:tcW w:w="1141" w:type="dxa"/>
            <w:vAlign w:val="center"/>
          </w:tcPr>
          <w:p>
            <w:pPr>
              <w:jc w:val="center"/>
              <w:rPr>
                <w:rFonts w:ascii="宋体" w:hAnsi="宋体"/>
              </w:rPr>
            </w:pPr>
            <w:r>
              <w:rPr>
                <w:rFonts w:hint="eastAsia" w:ascii="宋体" w:hAnsi="宋体"/>
              </w:rPr>
              <w:t>评标价的偏差率计算公式</w:t>
            </w:r>
          </w:p>
        </w:tc>
        <w:tc>
          <w:tcPr>
            <w:tcW w:w="7648" w:type="dxa"/>
            <w:vAlign w:val="center"/>
          </w:tcPr>
          <w:p>
            <w:pPr>
              <w:jc w:val="left"/>
              <w:rPr>
                <w:rFonts w:ascii="宋体" w:hAnsi="宋体"/>
              </w:rPr>
            </w:pPr>
            <w:r>
              <w:rPr>
                <w:rFonts w:hint="eastAsia" w:ascii="宋体" w:hAnsi="宋体"/>
              </w:rPr>
              <w:t>偏差率=100%×（投标人评标价-评标基准价）／评标基准价</w:t>
            </w:r>
          </w:p>
          <w:p>
            <w:pPr>
              <w:jc w:val="left"/>
              <w:rPr>
                <w:rFonts w:ascii="宋体" w:hAnsi="宋体"/>
              </w:rPr>
            </w:pPr>
            <w:r>
              <w:rPr>
                <w:rFonts w:hint="eastAsia" w:ascii="宋体" w:hAnsi="宋体"/>
              </w:rPr>
              <w:t>偏差率保留两位小数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szCs w:val="21"/>
              </w:rPr>
            </w:pPr>
            <w:r>
              <w:rPr>
                <w:rFonts w:hint="eastAsia" w:ascii="宋体" w:hAnsi="宋体"/>
              </w:rPr>
              <w:t>3</w:t>
            </w:r>
            <w:r>
              <w:rPr>
                <w:rFonts w:ascii="宋体" w:hAnsi="宋体"/>
              </w:rPr>
              <w:t>.6.1</w:t>
            </w:r>
          </w:p>
        </w:tc>
        <w:tc>
          <w:tcPr>
            <w:tcW w:w="1141" w:type="dxa"/>
            <w:vAlign w:val="center"/>
          </w:tcPr>
          <w:p>
            <w:pPr>
              <w:adjustRightInd w:val="0"/>
              <w:snapToGrid w:val="0"/>
              <w:spacing w:line="300" w:lineRule="exact"/>
              <w:jc w:val="center"/>
              <w:rPr>
                <w:rFonts w:ascii="宋体" w:hAnsi="宋体"/>
              </w:rPr>
            </w:pPr>
            <w:r>
              <w:rPr>
                <w:rFonts w:hint="eastAsia" w:ascii="宋体" w:hAnsi="宋体"/>
              </w:rPr>
              <w:t>信息查询</w:t>
            </w:r>
          </w:p>
        </w:tc>
        <w:tc>
          <w:tcPr>
            <w:tcW w:w="7648" w:type="dxa"/>
            <w:vAlign w:val="center"/>
          </w:tcPr>
          <w:p>
            <w:pPr>
              <w:autoSpaceDE w:val="0"/>
              <w:autoSpaceDN w:val="0"/>
              <w:spacing w:line="273" w:lineRule="auto"/>
              <w:rPr>
                <w:rFonts w:ascii="宋体" w:hAnsi="宋体"/>
              </w:rPr>
            </w:pPr>
            <w:r>
              <w:rPr>
                <w:rFonts w:hint="eastAsia" w:ascii="宋体" w:hAnsi="宋体"/>
              </w:rPr>
              <w:t>本款修改为：</w:t>
            </w:r>
          </w:p>
          <w:p>
            <w:pPr>
              <w:autoSpaceDE w:val="0"/>
              <w:autoSpaceDN w:val="0"/>
              <w:spacing w:line="273" w:lineRule="auto"/>
              <w:ind w:firstLine="420" w:firstLineChars="200"/>
              <w:rPr>
                <w:rFonts w:ascii="宋体" w:hAnsi="宋体"/>
              </w:rPr>
            </w:pPr>
            <w:r>
              <w:rPr>
                <w:rFonts w:hint="eastAsia" w:ascii="宋体" w:hAnsi="宋体"/>
              </w:rPr>
              <w:t>（1）投标人信用情况网页截图内容与在“国家企业信用信息公示系统”中严重违法失信企业名单（不包括分公司，事业单位投标人不适用）或在“信用中国”网站中失信被执行人名单、经营异常名录、重大税收违法失信主体名单、政府采购严重违法失信名单（均不包括分公司）的复核结果一致。如投标人未提供相关网页截图或所附截图与复核结果不一致，评标委员会应否决其投标。</w:t>
            </w:r>
          </w:p>
          <w:p>
            <w:pPr>
              <w:autoSpaceDE w:val="0"/>
              <w:autoSpaceDN w:val="0"/>
              <w:spacing w:line="273" w:lineRule="auto"/>
              <w:ind w:firstLine="420" w:firstLineChars="200"/>
              <w:rPr>
                <w:rFonts w:ascii="宋体" w:hAnsi="宋体"/>
              </w:rPr>
            </w:pPr>
            <w:r>
              <w:rPr>
                <w:rFonts w:hint="eastAsia" w:ascii="宋体" w:hAnsi="宋体"/>
              </w:rPr>
              <w:t>（2）评标委员会在评标时按照投标人提供的验证方式对电子保函或电子保证保险进行验证。如投标人未提供电子保函或电子保证保险的验证方式，或根据提供的验证方式无法核实的，评标委员会应否决其投标。</w:t>
            </w:r>
          </w:p>
          <w:p>
            <w:pPr>
              <w:autoSpaceDE w:val="0"/>
              <w:autoSpaceDN w:val="0"/>
              <w:spacing w:line="273" w:lineRule="auto"/>
              <w:ind w:firstLine="420" w:firstLineChars="200"/>
              <w:rPr>
                <w:rFonts w:ascii="宋体" w:hAnsi="宋体"/>
              </w:rPr>
            </w:pPr>
            <w:r>
              <w:rPr>
                <w:rFonts w:hint="eastAsia" w:ascii="宋体" w:hAnsi="宋体"/>
              </w:rPr>
              <w:t>投标人按招标文件要求提供了截图并更新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606" w:type="dxa"/>
            <w:gridSpan w:val="3"/>
            <w:vAlign w:val="center"/>
          </w:tcPr>
          <w:p>
            <w:pPr>
              <w:spacing w:line="340" w:lineRule="exact"/>
              <w:ind w:right="113"/>
              <w:rPr>
                <w:rFonts w:ascii="宋体" w:hAnsi="宋体"/>
                <w:bCs/>
                <w:szCs w:val="21"/>
              </w:rPr>
            </w:pPr>
            <w:r>
              <w:rPr>
                <w:rFonts w:hint="eastAsia" w:ascii="宋体" w:hAnsi="宋体"/>
                <w:szCs w:val="21"/>
              </w:rPr>
              <w:t>需要补充的其他内容：</w:t>
            </w:r>
            <w:r>
              <w:rPr>
                <w:rFonts w:hint="eastAsia" w:ascii="宋体" w:hAnsi="宋体"/>
                <w:bCs/>
                <w:szCs w:val="21"/>
              </w:rPr>
              <w:t>无</w:t>
            </w:r>
          </w:p>
        </w:tc>
      </w:tr>
    </w:tbl>
    <w:p>
      <w:pPr>
        <w:jc w:val="right"/>
      </w:pPr>
      <w:r>
        <w:br w:type="page"/>
      </w:r>
      <w:r>
        <w:rPr>
          <w:rFonts w:hint="eastAsia"/>
        </w:rPr>
        <w:t>续上表</w:t>
      </w:r>
    </w:p>
    <w:tbl>
      <w:tblPr>
        <w:tblStyle w:val="4"/>
        <w:tblW w:w="9482" w:type="dxa"/>
        <w:tblInd w:w="-1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77"/>
        <w:gridCol w:w="516"/>
        <w:gridCol w:w="618"/>
        <w:gridCol w:w="992"/>
        <w:gridCol w:w="1418"/>
        <w:gridCol w:w="49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08" w:hRule="exact"/>
        </w:trPr>
        <w:tc>
          <w:tcPr>
            <w:tcW w:w="977" w:type="dxa"/>
            <w:vAlign w:val="center"/>
          </w:tcPr>
          <w:p>
            <w:pPr>
              <w:autoSpaceDE w:val="0"/>
              <w:autoSpaceDN w:val="0"/>
              <w:spacing w:line="440" w:lineRule="exact"/>
              <w:ind w:right="11"/>
              <w:jc w:val="center"/>
              <w:rPr>
                <w:rFonts w:ascii="宋体" w:hAnsi="宋体" w:cs="宋体"/>
                <w:b/>
                <w:kern w:val="0"/>
                <w:szCs w:val="21"/>
              </w:rPr>
            </w:pPr>
            <w:r>
              <w:rPr>
                <w:rFonts w:hint="eastAsia" w:ascii="宋体" w:hAnsi="宋体" w:cs="宋体"/>
                <w:b/>
                <w:kern w:val="0"/>
                <w:szCs w:val="21"/>
              </w:rPr>
              <w:t>条款号</w:t>
            </w:r>
          </w:p>
        </w:tc>
        <w:tc>
          <w:tcPr>
            <w:tcW w:w="3544" w:type="dxa"/>
            <w:gridSpan w:val="4"/>
            <w:tcBorders>
              <w:right w:val="single" w:color="auto" w:sz="4" w:space="0"/>
            </w:tcBorders>
            <w:vAlign w:val="center"/>
          </w:tcPr>
          <w:p>
            <w:pPr>
              <w:autoSpaceDE w:val="0"/>
              <w:autoSpaceDN w:val="0"/>
              <w:spacing w:line="440" w:lineRule="exact"/>
              <w:ind w:right="11"/>
              <w:jc w:val="center"/>
              <w:rPr>
                <w:rFonts w:ascii="宋体" w:hAnsi="宋体" w:cs="宋体"/>
                <w:b/>
                <w:kern w:val="0"/>
                <w:szCs w:val="21"/>
              </w:rPr>
            </w:pPr>
            <w:r>
              <w:rPr>
                <w:rFonts w:hint="eastAsia" w:ascii="宋体" w:hAnsi="宋体" w:cs="宋体"/>
                <w:b/>
                <w:kern w:val="0"/>
                <w:szCs w:val="21"/>
              </w:rPr>
              <w:t>评审因素与权重分值</w:t>
            </w:r>
          </w:p>
        </w:tc>
        <w:tc>
          <w:tcPr>
            <w:tcW w:w="4961" w:type="dxa"/>
            <w:vMerge w:val="restart"/>
            <w:tcBorders>
              <w:left w:val="single" w:color="auto" w:sz="4" w:space="0"/>
            </w:tcBorders>
            <w:vAlign w:val="center"/>
          </w:tcPr>
          <w:p>
            <w:pPr>
              <w:autoSpaceDE w:val="0"/>
              <w:autoSpaceDN w:val="0"/>
              <w:spacing w:line="440" w:lineRule="exact"/>
              <w:ind w:right="11"/>
              <w:jc w:val="center"/>
              <w:rPr>
                <w:rFonts w:ascii="宋体" w:hAnsi="宋体" w:cs="宋体"/>
                <w:b/>
                <w:kern w:val="0"/>
                <w:szCs w:val="21"/>
              </w:rPr>
            </w:pPr>
            <w:r>
              <w:rPr>
                <w:rFonts w:hint="eastAsia" w:ascii="宋体" w:hAnsi="宋体" w:cs="宋体"/>
                <w:b/>
                <w:kern w:val="0"/>
                <w:szCs w:val="21"/>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6" w:hRule="exact"/>
        </w:trPr>
        <w:tc>
          <w:tcPr>
            <w:tcW w:w="977" w:type="dxa"/>
            <w:vMerge w:val="restart"/>
            <w:vAlign w:val="center"/>
          </w:tcPr>
          <w:p>
            <w:pPr>
              <w:autoSpaceDE w:val="0"/>
              <w:autoSpaceDN w:val="0"/>
              <w:snapToGrid w:val="0"/>
              <w:ind w:right="11"/>
              <w:jc w:val="center"/>
              <w:rPr>
                <w:rFonts w:ascii="宋体" w:hAnsi="宋体" w:cs="宋体"/>
                <w:kern w:val="0"/>
                <w:szCs w:val="21"/>
              </w:rPr>
            </w:pPr>
            <w:r>
              <w:rPr>
                <w:rFonts w:hint="eastAsia" w:ascii="宋体" w:hAnsi="宋体"/>
              </w:rPr>
              <w:t>2.2.4(1)</w:t>
            </w:r>
          </w:p>
        </w:tc>
        <w:tc>
          <w:tcPr>
            <w:tcW w:w="1134" w:type="dxa"/>
            <w:gridSpan w:val="2"/>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评分因素及权重分值</w:t>
            </w:r>
          </w:p>
        </w:tc>
        <w:tc>
          <w:tcPr>
            <w:tcW w:w="2410" w:type="dxa"/>
            <w:gridSpan w:val="2"/>
            <w:tcBorders>
              <w:right w:val="single" w:color="auto" w:sz="4" w:space="0"/>
            </w:tcBorders>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各评分因素</w:t>
            </w:r>
          </w:p>
          <w:p>
            <w:pPr>
              <w:autoSpaceDE w:val="0"/>
              <w:autoSpaceDN w:val="0"/>
              <w:snapToGrid w:val="0"/>
              <w:ind w:right="11"/>
              <w:jc w:val="center"/>
              <w:rPr>
                <w:rFonts w:ascii="宋体" w:hAnsi="宋体" w:cs="宋体"/>
                <w:kern w:val="0"/>
                <w:szCs w:val="21"/>
              </w:rPr>
            </w:pPr>
            <w:r>
              <w:rPr>
                <w:rFonts w:hint="eastAsia" w:ascii="宋体" w:hAnsi="宋体" w:cs="宋体"/>
                <w:kern w:val="0"/>
                <w:szCs w:val="21"/>
              </w:rPr>
              <w:t>细分项及分值</w:t>
            </w:r>
          </w:p>
        </w:tc>
        <w:tc>
          <w:tcPr>
            <w:tcW w:w="4961" w:type="dxa"/>
            <w:vMerge w:val="continue"/>
            <w:tcBorders>
              <w:left w:val="single" w:color="auto" w:sz="4" w:space="0"/>
              <w:bottom w:val="single" w:color="auto" w:sz="4" w:space="0"/>
            </w:tcBorders>
            <w:vAlign w:val="center"/>
          </w:tcPr>
          <w:p>
            <w:pPr>
              <w:autoSpaceDE w:val="0"/>
              <w:autoSpaceDN w:val="0"/>
              <w:snapToGrid w:val="0"/>
              <w:ind w:right="11"/>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1134" w:type="dxa"/>
            <w:gridSpan w:val="2"/>
            <w:vMerge w:val="restart"/>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技术建议书</w:t>
            </w:r>
          </w:p>
          <w:p>
            <w:pPr>
              <w:autoSpaceDE w:val="0"/>
              <w:autoSpaceDN w:val="0"/>
              <w:snapToGrid w:val="0"/>
              <w:ind w:right="11"/>
              <w:jc w:val="center"/>
              <w:rPr>
                <w:rFonts w:ascii="宋体" w:hAnsi="宋体" w:cs="宋体"/>
                <w:kern w:val="0"/>
                <w:szCs w:val="21"/>
              </w:rPr>
            </w:pPr>
            <w:r>
              <w:rPr>
                <w:rFonts w:hint="eastAsia" w:ascii="宋体" w:hAnsi="宋体" w:cs="宋体"/>
                <w:kern w:val="0"/>
                <w:szCs w:val="21"/>
              </w:rPr>
              <w:t>（4</w:t>
            </w:r>
            <w:r>
              <w:rPr>
                <w:rFonts w:ascii="宋体" w:hAnsi="宋体" w:cs="宋体"/>
                <w:kern w:val="0"/>
                <w:szCs w:val="21"/>
              </w:rPr>
              <w:t>5</w:t>
            </w:r>
            <w:r>
              <w:rPr>
                <w:rFonts w:hint="eastAsia" w:ascii="宋体" w:hAnsi="宋体" w:cs="宋体"/>
                <w:kern w:val="0"/>
                <w:szCs w:val="21"/>
              </w:rPr>
              <w:t>分）</w:t>
            </w:r>
          </w:p>
        </w:tc>
        <w:tc>
          <w:tcPr>
            <w:tcW w:w="992" w:type="dxa"/>
            <w:vMerge w:val="restart"/>
            <w:tcBorders>
              <w:right w:val="single" w:color="auto" w:sz="4" w:space="0"/>
            </w:tcBorders>
            <w:vAlign w:val="center"/>
          </w:tcPr>
          <w:p>
            <w:pPr>
              <w:autoSpaceDE w:val="0"/>
              <w:autoSpaceDN w:val="0"/>
              <w:snapToGrid w:val="0"/>
              <w:ind w:left="9" w:right="11"/>
              <w:jc w:val="center"/>
              <w:rPr>
                <w:rFonts w:ascii="宋体" w:hAnsi="宋体" w:cs="宋体"/>
                <w:kern w:val="0"/>
                <w:szCs w:val="21"/>
              </w:rPr>
            </w:pPr>
            <w:r>
              <w:rPr>
                <w:rFonts w:hint="eastAsia" w:ascii="宋体" w:hAnsi="宋体" w:cs="宋体"/>
                <w:kern w:val="0"/>
                <w:szCs w:val="21"/>
              </w:rPr>
              <w:t>对研究项目的理解</w:t>
            </w:r>
          </w:p>
          <w:p>
            <w:pPr>
              <w:autoSpaceDE w:val="0"/>
              <w:autoSpaceDN w:val="0"/>
              <w:snapToGrid w:val="0"/>
              <w:ind w:left="9" w:right="11"/>
              <w:jc w:val="center"/>
              <w:rPr>
                <w:rFonts w:ascii="宋体" w:hAnsi="宋体" w:cs="宋体"/>
                <w:kern w:val="0"/>
                <w:szCs w:val="21"/>
              </w:rPr>
            </w:pPr>
            <w:r>
              <w:rPr>
                <w:rFonts w:hint="eastAsia" w:ascii="宋体" w:hAnsi="宋体" w:cs="宋体"/>
                <w:kern w:val="0"/>
                <w:szCs w:val="21"/>
              </w:rPr>
              <w:t>（10分）</w:t>
            </w:r>
          </w:p>
        </w:tc>
        <w:tc>
          <w:tcPr>
            <w:tcW w:w="1418" w:type="dxa"/>
            <w:tcBorders>
              <w:left w:val="single" w:color="auto" w:sz="4" w:space="0"/>
              <w:bottom w:val="single" w:color="auto" w:sz="4" w:space="0"/>
              <w:right w:val="single" w:color="auto" w:sz="4" w:space="0"/>
            </w:tcBorders>
            <w:vAlign w:val="center"/>
          </w:tcPr>
          <w:p>
            <w:pPr>
              <w:autoSpaceDE w:val="0"/>
              <w:autoSpaceDN w:val="0"/>
              <w:snapToGrid w:val="0"/>
              <w:ind w:left="9" w:right="11"/>
              <w:jc w:val="left"/>
              <w:rPr>
                <w:rFonts w:ascii="宋体" w:hAnsi="宋体" w:cs="宋体"/>
                <w:kern w:val="0"/>
                <w:szCs w:val="21"/>
              </w:rPr>
            </w:pPr>
            <w:r>
              <w:rPr>
                <w:rFonts w:hint="eastAsia" w:ascii="宋体" w:hAnsi="宋体" w:cs="宋体"/>
              </w:rPr>
              <w:t>项目研究的目的与意义描述（5分）</w:t>
            </w:r>
          </w:p>
        </w:tc>
        <w:tc>
          <w:tcPr>
            <w:tcW w:w="4961" w:type="dxa"/>
            <w:tcBorders>
              <w:top w:val="single" w:color="auto" w:sz="4" w:space="0"/>
              <w:left w:val="single" w:color="auto" w:sz="4" w:space="0"/>
            </w:tcBorders>
            <w:vAlign w:val="center"/>
          </w:tcPr>
          <w:p>
            <w:pPr>
              <w:jc w:val="left"/>
              <w:rPr>
                <w:rFonts w:ascii="宋体" w:hAnsi="宋体" w:cs="宋体"/>
                <w:szCs w:val="21"/>
              </w:rPr>
            </w:pPr>
            <w:r>
              <w:rPr>
                <w:rFonts w:hint="eastAsia" w:ascii="宋体" w:hAnsi="宋体" w:cs="宋体"/>
                <w:szCs w:val="21"/>
              </w:rPr>
              <w:t>目的明确、描述清晰，得4.0（不含）-5.0分；</w:t>
            </w:r>
          </w:p>
          <w:p>
            <w:pPr>
              <w:jc w:val="left"/>
              <w:rPr>
                <w:rFonts w:ascii="宋体" w:hAnsi="宋体" w:cs="宋体"/>
                <w:szCs w:val="21"/>
              </w:rPr>
            </w:pPr>
            <w:r>
              <w:rPr>
                <w:rFonts w:hint="eastAsia" w:ascii="宋体" w:hAnsi="宋体" w:cs="宋体"/>
                <w:szCs w:val="21"/>
              </w:rPr>
              <w:t>目的较明确、描述较清晰，得3.0（不含）-4.0（含）分；</w:t>
            </w:r>
          </w:p>
          <w:p>
            <w:pPr>
              <w:pStyle w:val="3"/>
              <w:snapToGrid w:val="0"/>
              <w:jc w:val="left"/>
              <w:rPr>
                <w:rFonts w:hAnsi="宋体"/>
                <w:kern w:val="2"/>
                <w:sz w:val="21"/>
                <w:szCs w:val="21"/>
              </w:rPr>
            </w:pPr>
            <w:r>
              <w:rPr>
                <w:rFonts w:hint="eastAsia" w:hAnsi="宋体" w:cs="宋体"/>
              </w:rPr>
              <w:t>目的基本明确、描述一般，得3.0分。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1134" w:type="dxa"/>
            <w:gridSpan w:val="2"/>
            <w:vMerge w:val="continue"/>
            <w:vAlign w:val="center"/>
          </w:tcPr>
          <w:p>
            <w:pPr>
              <w:autoSpaceDE w:val="0"/>
              <w:autoSpaceDN w:val="0"/>
              <w:snapToGrid w:val="0"/>
              <w:ind w:right="11"/>
              <w:jc w:val="center"/>
              <w:rPr>
                <w:rFonts w:ascii="宋体" w:hAnsi="宋体" w:cs="宋体"/>
                <w:kern w:val="0"/>
                <w:szCs w:val="21"/>
              </w:rPr>
            </w:pPr>
          </w:p>
        </w:tc>
        <w:tc>
          <w:tcPr>
            <w:tcW w:w="992" w:type="dxa"/>
            <w:vMerge w:val="continue"/>
            <w:tcBorders>
              <w:right w:val="single" w:color="auto" w:sz="4" w:space="0"/>
            </w:tcBorders>
            <w:vAlign w:val="center"/>
          </w:tcPr>
          <w:p>
            <w:pPr>
              <w:autoSpaceDE w:val="0"/>
              <w:autoSpaceDN w:val="0"/>
              <w:snapToGrid w:val="0"/>
              <w:ind w:left="9" w:right="11"/>
              <w:jc w:val="center"/>
              <w:rPr>
                <w:rFonts w:ascii="宋体" w:hAnsi="宋体" w:cs="宋体"/>
                <w:kern w:val="0"/>
                <w:szCs w:val="21"/>
              </w:rPr>
            </w:pPr>
          </w:p>
        </w:tc>
        <w:tc>
          <w:tcPr>
            <w:tcW w:w="1418" w:type="dxa"/>
            <w:tcBorders>
              <w:top w:val="single" w:color="auto" w:sz="4" w:space="0"/>
              <w:left w:val="single" w:color="auto" w:sz="4" w:space="0"/>
              <w:right w:val="single" w:color="auto" w:sz="4" w:space="0"/>
            </w:tcBorders>
            <w:vAlign w:val="center"/>
          </w:tcPr>
          <w:p>
            <w:pPr>
              <w:autoSpaceDE w:val="0"/>
              <w:autoSpaceDN w:val="0"/>
              <w:snapToGrid w:val="0"/>
              <w:ind w:left="9" w:right="11"/>
              <w:jc w:val="left"/>
              <w:rPr>
                <w:rFonts w:ascii="宋体" w:hAnsi="宋体" w:cs="宋体"/>
                <w:kern w:val="0"/>
                <w:szCs w:val="21"/>
              </w:rPr>
            </w:pPr>
            <w:r>
              <w:rPr>
                <w:rFonts w:hint="eastAsia" w:ascii="宋体" w:hAnsi="宋体" w:cs="宋体"/>
              </w:rPr>
              <w:t>国内研究现状分析及对本研究课题的认识（5分）</w:t>
            </w:r>
          </w:p>
        </w:tc>
        <w:tc>
          <w:tcPr>
            <w:tcW w:w="4961" w:type="dxa"/>
            <w:tcBorders>
              <w:top w:val="single" w:color="auto" w:sz="4" w:space="0"/>
              <w:left w:val="single" w:color="auto" w:sz="4" w:space="0"/>
            </w:tcBorders>
            <w:vAlign w:val="center"/>
          </w:tcPr>
          <w:p>
            <w:pPr>
              <w:jc w:val="left"/>
              <w:rPr>
                <w:rFonts w:ascii="宋体" w:hAnsi="宋体" w:cs="宋体"/>
                <w:szCs w:val="21"/>
              </w:rPr>
            </w:pPr>
            <w:r>
              <w:rPr>
                <w:rFonts w:hint="eastAsia" w:ascii="宋体" w:hAnsi="宋体" w:cs="宋体"/>
              </w:rPr>
              <w:t>了解深入、清楚，得</w:t>
            </w:r>
            <w:r>
              <w:rPr>
                <w:rFonts w:hint="eastAsia" w:ascii="宋体" w:hAnsi="宋体" w:cs="宋体"/>
                <w:szCs w:val="21"/>
              </w:rPr>
              <w:t>4.0（不含）-5分；</w:t>
            </w:r>
          </w:p>
          <w:p>
            <w:pPr>
              <w:jc w:val="left"/>
              <w:rPr>
                <w:rFonts w:ascii="宋体" w:hAnsi="宋体" w:cs="宋体"/>
                <w:szCs w:val="21"/>
              </w:rPr>
            </w:pPr>
            <w:r>
              <w:rPr>
                <w:rFonts w:hint="eastAsia" w:ascii="宋体" w:hAnsi="宋体" w:cs="宋体"/>
                <w:szCs w:val="21"/>
              </w:rPr>
              <w:t>了解较深入、较清楚，得3.0（不含）-4.0（含）分；</w:t>
            </w:r>
          </w:p>
          <w:p>
            <w:pPr>
              <w:pStyle w:val="3"/>
              <w:snapToGrid w:val="0"/>
              <w:jc w:val="left"/>
              <w:rPr>
                <w:rFonts w:hAnsi="宋体"/>
                <w:kern w:val="2"/>
                <w:sz w:val="21"/>
                <w:szCs w:val="21"/>
              </w:rPr>
            </w:pPr>
            <w:r>
              <w:rPr>
                <w:rFonts w:hint="eastAsia" w:hAnsi="宋体" w:cs="宋体"/>
                <w:szCs w:val="21"/>
              </w:rPr>
              <w:t>了解一般，得3.0分。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1134" w:type="dxa"/>
            <w:gridSpan w:val="2"/>
            <w:vMerge w:val="continue"/>
            <w:vAlign w:val="center"/>
          </w:tcPr>
          <w:p>
            <w:pPr>
              <w:autoSpaceDE w:val="0"/>
              <w:autoSpaceDN w:val="0"/>
              <w:snapToGrid w:val="0"/>
              <w:ind w:right="11"/>
              <w:jc w:val="center"/>
              <w:rPr>
                <w:rFonts w:ascii="宋体" w:hAnsi="宋体" w:cs="宋体"/>
                <w:kern w:val="0"/>
                <w:szCs w:val="21"/>
              </w:rPr>
            </w:pPr>
          </w:p>
        </w:tc>
        <w:tc>
          <w:tcPr>
            <w:tcW w:w="992" w:type="dxa"/>
            <w:vMerge w:val="restart"/>
            <w:tcBorders>
              <w:right w:val="single" w:color="auto" w:sz="4" w:space="0"/>
            </w:tcBorders>
            <w:vAlign w:val="center"/>
          </w:tcPr>
          <w:p>
            <w:pPr>
              <w:spacing w:line="320" w:lineRule="exact"/>
              <w:ind w:left="20"/>
              <w:jc w:val="center"/>
              <w:rPr>
                <w:rFonts w:ascii="宋体" w:hAnsi="宋体" w:cs="宋体"/>
              </w:rPr>
            </w:pPr>
            <w:r>
              <w:rPr>
                <w:rFonts w:hint="eastAsia" w:ascii="宋体" w:hAnsi="宋体" w:cs="宋体"/>
              </w:rPr>
              <w:t>项目研究实施方案</w:t>
            </w:r>
          </w:p>
          <w:p>
            <w:pPr>
              <w:pStyle w:val="3"/>
              <w:snapToGrid w:val="0"/>
              <w:ind w:left="27" w:leftChars="-48" w:right="-31" w:rightChars="-15" w:hanging="128" w:hangingChars="64"/>
              <w:jc w:val="center"/>
              <w:rPr>
                <w:rFonts w:hAnsi="宋体"/>
                <w:kern w:val="2"/>
                <w:sz w:val="21"/>
                <w:szCs w:val="21"/>
              </w:rPr>
            </w:pPr>
            <w:r>
              <w:rPr>
                <w:rFonts w:hint="eastAsia" w:hAnsi="宋体" w:cs="宋体"/>
              </w:rPr>
              <w:t>(20分)</w:t>
            </w:r>
          </w:p>
        </w:tc>
        <w:tc>
          <w:tcPr>
            <w:tcW w:w="1418" w:type="dxa"/>
            <w:tcBorders>
              <w:left w:val="single" w:color="auto" w:sz="4" w:space="0"/>
              <w:right w:val="single" w:color="auto" w:sz="4" w:space="0"/>
            </w:tcBorders>
            <w:vAlign w:val="center"/>
          </w:tcPr>
          <w:p>
            <w:pPr>
              <w:autoSpaceDE w:val="0"/>
              <w:autoSpaceDN w:val="0"/>
              <w:snapToGrid w:val="0"/>
              <w:ind w:left="9" w:right="11"/>
              <w:jc w:val="left"/>
              <w:rPr>
                <w:rFonts w:ascii="宋体" w:hAnsi="宋体" w:cs="宋体"/>
              </w:rPr>
            </w:pPr>
            <w:r>
              <w:rPr>
                <w:rFonts w:hint="eastAsia" w:ascii="宋体" w:hAnsi="宋体" w:cs="宋体"/>
              </w:rPr>
              <w:t>研究的主要内容描述（6分）</w:t>
            </w:r>
          </w:p>
        </w:tc>
        <w:tc>
          <w:tcPr>
            <w:tcW w:w="4961" w:type="dxa"/>
            <w:tcBorders>
              <w:left w:val="single" w:color="auto" w:sz="4" w:space="0"/>
            </w:tcBorders>
            <w:vAlign w:val="center"/>
          </w:tcPr>
          <w:p>
            <w:pPr>
              <w:jc w:val="left"/>
              <w:rPr>
                <w:rFonts w:ascii="宋体" w:hAnsi="宋体" w:cs="宋体"/>
                <w:szCs w:val="21"/>
              </w:rPr>
            </w:pPr>
            <w:r>
              <w:rPr>
                <w:rFonts w:hint="eastAsia" w:ascii="宋体" w:hAnsi="宋体" w:cs="宋体"/>
                <w:szCs w:val="21"/>
              </w:rPr>
              <w:t>内容具体，方案切实可行，得4.8（不含）-6.0分；</w:t>
            </w:r>
          </w:p>
          <w:p>
            <w:pPr>
              <w:jc w:val="left"/>
              <w:rPr>
                <w:rFonts w:ascii="宋体" w:hAnsi="宋体" w:cs="宋体"/>
                <w:szCs w:val="21"/>
              </w:rPr>
            </w:pPr>
            <w:r>
              <w:rPr>
                <w:rFonts w:hint="eastAsia" w:ascii="宋体" w:hAnsi="宋体" w:cs="宋体"/>
                <w:szCs w:val="21"/>
              </w:rPr>
              <w:t>内容清楚，方案基本可行，得3.6（不含）-4.8（含）分；</w:t>
            </w:r>
          </w:p>
          <w:p>
            <w:pPr>
              <w:pStyle w:val="3"/>
              <w:snapToGrid w:val="0"/>
              <w:jc w:val="left"/>
              <w:rPr>
                <w:rFonts w:hAnsi="宋体" w:cs="宋体"/>
                <w:kern w:val="2"/>
                <w:sz w:val="21"/>
                <w:szCs w:val="21"/>
              </w:rPr>
            </w:pPr>
            <w:r>
              <w:rPr>
                <w:rFonts w:hint="eastAsia" w:hAnsi="宋体" w:cs="宋体"/>
                <w:kern w:val="2"/>
                <w:sz w:val="21"/>
                <w:szCs w:val="21"/>
              </w:rPr>
              <w:t>内容不够具体，方案一般，得3.6分；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1134" w:type="dxa"/>
            <w:gridSpan w:val="2"/>
            <w:vMerge w:val="continue"/>
            <w:vAlign w:val="center"/>
          </w:tcPr>
          <w:p>
            <w:pPr>
              <w:autoSpaceDE w:val="0"/>
              <w:autoSpaceDN w:val="0"/>
              <w:snapToGrid w:val="0"/>
              <w:ind w:right="11"/>
              <w:jc w:val="center"/>
              <w:rPr>
                <w:rFonts w:ascii="宋体" w:hAnsi="宋体" w:cs="宋体"/>
                <w:kern w:val="0"/>
                <w:szCs w:val="21"/>
              </w:rPr>
            </w:pPr>
          </w:p>
        </w:tc>
        <w:tc>
          <w:tcPr>
            <w:tcW w:w="992" w:type="dxa"/>
            <w:vMerge w:val="continue"/>
            <w:tcBorders>
              <w:right w:val="single" w:color="auto" w:sz="4" w:space="0"/>
            </w:tcBorders>
            <w:vAlign w:val="center"/>
          </w:tcPr>
          <w:p>
            <w:pPr>
              <w:pStyle w:val="3"/>
              <w:snapToGrid w:val="0"/>
              <w:ind w:left="33" w:leftChars="-48" w:right="-31" w:rightChars="-15" w:hanging="134" w:hangingChars="64"/>
              <w:jc w:val="center"/>
              <w:rPr>
                <w:rFonts w:hAnsi="宋体"/>
                <w:kern w:val="2"/>
                <w:sz w:val="21"/>
                <w:szCs w:val="21"/>
              </w:rPr>
            </w:pPr>
          </w:p>
        </w:tc>
        <w:tc>
          <w:tcPr>
            <w:tcW w:w="1418" w:type="dxa"/>
            <w:tcBorders>
              <w:left w:val="single" w:color="auto" w:sz="4" w:space="0"/>
              <w:right w:val="single" w:color="auto" w:sz="4" w:space="0"/>
            </w:tcBorders>
            <w:vAlign w:val="center"/>
          </w:tcPr>
          <w:p>
            <w:pPr>
              <w:autoSpaceDE w:val="0"/>
              <w:autoSpaceDN w:val="0"/>
              <w:snapToGrid w:val="0"/>
              <w:ind w:left="9" w:right="11"/>
              <w:jc w:val="left"/>
              <w:rPr>
                <w:rFonts w:ascii="宋体" w:hAnsi="宋体" w:cs="宋体"/>
              </w:rPr>
            </w:pPr>
            <w:r>
              <w:rPr>
                <w:rFonts w:hint="eastAsia" w:ascii="宋体" w:hAnsi="宋体" w:cs="宋体"/>
              </w:rPr>
              <w:t>研究采用的技术路线（8分）</w:t>
            </w:r>
          </w:p>
        </w:tc>
        <w:tc>
          <w:tcPr>
            <w:tcW w:w="4961" w:type="dxa"/>
            <w:tcBorders>
              <w:left w:val="single" w:color="auto" w:sz="4" w:space="0"/>
            </w:tcBorders>
            <w:vAlign w:val="center"/>
          </w:tcPr>
          <w:p>
            <w:pPr>
              <w:jc w:val="left"/>
              <w:rPr>
                <w:rFonts w:ascii="宋体" w:hAnsi="宋体" w:cs="宋体"/>
                <w:szCs w:val="21"/>
              </w:rPr>
            </w:pPr>
            <w:r>
              <w:rPr>
                <w:rFonts w:hint="eastAsia" w:ascii="宋体" w:hAnsi="宋体" w:cs="宋体"/>
                <w:szCs w:val="21"/>
              </w:rPr>
              <w:t>把握准确、描述具体清楚，得6.4（不含）-8.0分；</w:t>
            </w:r>
          </w:p>
          <w:p>
            <w:pPr>
              <w:jc w:val="left"/>
              <w:rPr>
                <w:rFonts w:ascii="宋体" w:hAnsi="宋体" w:cs="宋体"/>
                <w:szCs w:val="21"/>
              </w:rPr>
            </w:pPr>
            <w:r>
              <w:rPr>
                <w:rFonts w:hint="eastAsia" w:ascii="宋体" w:hAnsi="宋体" w:cs="宋体"/>
                <w:szCs w:val="21"/>
              </w:rPr>
              <w:t>把握较准确、描述清楚，得4.8（不含）-6.4（含）分；</w:t>
            </w:r>
          </w:p>
          <w:p>
            <w:pPr>
              <w:pStyle w:val="3"/>
              <w:snapToGrid w:val="0"/>
              <w:jc w:val="left"/>
              <w:rPr>
                <w:rFonts w:hAnsi="宋体" w:cs="宋体"/>
                <w:kern w:val="2"/>
                <w:sz w:val="21"/>
                <w:szCs w:val="21"/>
              </w:rPr>
            </w:pPr>
            <w:r>
              <w:rPr>
                <w:rFonts w:hint="eastAsia" w:hAnsi="宋体" w:cs="宋体"/>
                <w:kern w:val="2"/>
                <w:sz w:val="21"/>
                <w:szCs w:val="21"/>
              </w:rPr>
              <w:t>把握基本准确、描述基本清楚，得4.8分；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1134" w:type="dxa"/>
            <w:gridSpan w:val="2"/>
            <w:vMerge w:val="continue"/>
            <w:vAlign w:val="center"/>
          </w:tcPr>
          <w:p>
            <w:pPr>
              <w:autoSpaceDE w:val="0"/>
              <w:autoSpaceDN w:val="0"/>
              <w:snapToGrid w:val="0"/>
              <w:ind w:right="11"/>
              <w:jc w:val="center"/>
              <w:rPr>
                <w:rFonts w:ascii="宋体" w:hAnsi="宋体" w:cs="宋体"/>
                <w:kern w:val="0"/>
                <w:szCs w:val="21"/>
              </w:rPr>
            </w:pPr>
          </w:p>
        </w:tc>
        <w:tc>
          <w:tcPr>
            <w:tcW w:w="992" w:type="dxa"/>
            <w:vMerge w:val="continue"/>
            <w:tcBorders>
              <w:right w:val="single" w:color="auto" w:sz="4" w:space="0"/>
            </w:tcBorders>
            <w:vAlign w:val="center"/>
          </w:tcPr>
          <w:p>
            <w:pPr>
              <w:pStyle w:val="3"/>
              <w:snapToGrid w:val="0"/>
              <w:ind w:left="27" w:leftChars="-48" w:right="-31" w:rightChars="-15" w:hanging="128" w:hangingChars="64"/>
              <w:jc w:val="center"/>
              <w:rPr>
                <w:rFonts w:hAnsi="宋体" w:cs="宋体"/>
                <w:szCs w:val="21"/>
              </w:rPr>
            </w:pPr>
          </w:p>
        </w:tc>
        <w:tc>
          <w:tcPr>
            <w:tcW w:w="1418" w:type="dxa"/>
            <w:tcBorders>
              <w:left w:val="single" w:color="auto" w:sz="4" w:space="0"/>
              <w:right w:val="single" w:color="auto" w:sz="4" w:space="0"/>
            </w:tcBorders>
            <w:vAlign w:val="center"/>
          </w:tcPr>
          <w:p>
            <w:pPr>
              <w:autoSpaceDE w:val="0"/>
              <w:autoSpaceDN w:val="0"/>
              <w:snapToGrid w:val="0"/>
              <w:ind w:left="9" w:right="11"/>
              <w:jc w:val="left"/>
              <w:rPr>
                <w:rFonts w:ascii="宋体" w:hAnsi="宋体" w:cs="宋体"/>
              </w:rPr>
            </w:pPr>
            <w:r>
              <w:rPr>
                <w:rFonts w:hint="eastAsia" w:ascii="宋体" w:hAnsi="宋体" w:cs="宋体"/>
              </w:rPr>
              <w:t>对原有创新点的理解和建议</w:t>
            </w:r>
          </w:p>
          <w:p>
            <w:pPr>
              <w:pStyle w:val="3"/>
              <w:autoSpaceDE w:val="0"/>
              <w:autoSpaceDN w:val="0"/>
              <w:snapToGrid w:val="0"/>
              <w:ind w:left="33" w:leftChars="-48" w:right="-31" w:rightChars="-15" w:hanging="134" w:hangingChars="64"/>
              <w:jc w:val="left"/>
              <w:rPr>
                <w:rFonts w:hAnsi="宋体" w:cs="宋体"/>
                <w:kern w:val="2"/>
                <w:sz w:val="21"/>
                <w:szCs w:val="22"/>
              </w:rPr>
            </w:pPr>
            <w:r>
              <w:rPr>
                <w:rFonts w:hint="eastAsia" w:hAnsi="宋体" w:cs="宋体"/>
                <w:kern w:val="2"/>
                <w:sz w:val="21"/>
                <w:szCs w:val="22"/>
              </w:rPr>
              <w:t>（6分）</w:t>
            </w:r>
          </w:p>
        </w:tc>
        <w:tc>
          <w:tcPr>
            <w:tcW w:w="4961" w:type="dxa"/>
            <w:tcBorders>
              <w:left w:val="single" w:color="auto" w:sz="4" w:space="0"/>
            </w:tcBorders>
            <w:vAlign w:val="center"/>
          </w:tcPr>
          <w:p>
            <w:pPr>
              <w:jc w:val="left"/>
              <w:rPr>
                <w:rFonts w:ascii="宋体" w:hAnsi="宋体" w:cs="宋体"/>
                <w:szCs w:val="21"/>
              </w:rPr>
            </w:pPr>
            <w:r>
              <w:rPr>
                <w:rFonts w:hint="eastAsia" w:ascii="宋体" w:hAnsi="宋体" w:cs="宋体"/>
                <w:szCs w:val="21"/>
              </w:rPr>
              <w:t>明确、合理可行，得4.8（不含）-6.0分；</w:t>
            </w:r>
          </w:p>
          <w:p>
            <w:pPr>
              <w:jc w:val="left"/>
              <w:rPr>
                <w:rFonts w:ascii="宋体" w:hAnsi="宋体" w:cs="宋体"/>
                <w:szCs w:val="21"/>
              </w:rPr>
            </w:pPr>
            <w:r>
              <w:rPr>
                <w:rFonts w:hint="eastAsia" w:ascii="宋体" w:hAnsi="宋体" w:cs="宋体"/>
                <w:szCs w:val="21"/>
              </w:rPr>
              <w:t>比较明确、较合理可行，得3.6（不含）-4.8（含）分；</w:t>
            </w:r>
          </w:p>
          <w:p>
            <w:pPr>
              <w:pStyle w:val="3"/>
              <w:snapToGrid w:val="0"/>
              <w:jc w:val="left"/>
              <w:rPr>
                <w:rFonts w:hAnsi="宋体" w:cs="宋体"/>
                <w:kern w:val="2"/>
                <w:sz w:val="21"/>
                <w:szCs w:val="21"/>
              </w:rPr>
            </w:pPr>
            <w:r>
              <w:rPr>
                <w:rFonts w:hint="eastAsia" w:hAnsi="宋体" w:cs="宋体"/>
                <w:kern w:val="2"/>
                <w:sz w:val="21"/>
                <w:szCs w:val="21"/>
              </w:rPr>
              <w:t>基本明确、一般，得3.6分；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1134" w:type="dxa"/>
            <w:gridSpan w:val="2"/>
            <w:vMerge w:val="continue"/>
            <w:vAlign w:val="center"/>
          </w:tcPr>
          <w:p>
            <w:pPr>
              <w:autoSpaceDE w:val="0"/>
              <w:autoSpaceDN w:val="0"/>
              <w:snapToGrid w:val="0"/>
              <w:ind w:right="11"/>
              <w:jc w:val="center"/>
              <w:rPr>
                <w:rFonts w:ascii="宋体" w:hAnsi="宋体" w:cs="宋体"/>
                <w:kern w:val="0"/>
                <w:szCs w:val="21"/>
              </w:rPr>
            </w:pPr>
          </w:p>
        </w:tc>
        <w:tc>
          <w:tcPr>
            <w:tcW w:w="2410" w:type="dxa"/>
            <w:gridSpan w:val="2"/>
            <w:tcBorders>
              <w:right w:val="single" w:color="auto" w:sz="4" w:space="0"/>
            </w:tcBorders>
            <w:vAlign w:val="center"/>
          </w:tcPr>
          <w:p>
            <w:pPr>
              <w:spacing w:line="320" w:lineRule="exact"/>
              <w:ind w:left="20"/>
              <w:jc w:val="left"/>
              <w:rPr>
                <w:rFonts w:ascii="宋体" w:hAnsi="宋体" w:cs="宋体"/>
              </w:rPr>
            </w:pPr>
            <w:r>
              <w:rPr>
                <w:rFonts w:hint="eastAsia" w:ascii="宋体" w:hAnsi="宋体" w:cs="宋体"/>
              </w:rPr>
              <w:t>工作计划与进度安排</w:t>
            </w:r>
          </w:p>
          <w:p>
            <w:pPr>
              <w:pStyle w:val="3"/>
              <w:snapToGrid w:val="0"/>
              <w:jc w:val="left"/>
              <w:rPr>
                <w:rFonts w:hAnsi="宋体"/>
                <w:kern w:val="2"/>
                <w:sz w:val="21"/>
                <w:szCs w:val="21"/>
              </w:rPr>
            </w:pPr>
            <w:r>
              <w:rPr>
                <w:rFonts w:hint="eastAsia" w:hAnsi="宋体" w:cs="宋体"/>
              </w:rPr>
              <w:t>（</w:t>
            </w:r>
            <w:r>
              <w:rPr>
                <w:rFonts w:hAnsi="宋体" w:cs="宋体"/>
              </w:rPr>
              <w:t>5</w:t>
            </w:r>
            <w:r>
              <w:rPr>
                <w:rFonts w:hint="eastAsia" w:hAnsi="宋体" w:cs="宋体"/>
              </w:rPr>
              <w:t>分）</w:t>
            </w:r>
          </w:p>
        </w:tc>
        <w:tc>
          <w:tcPr>
            <w:tcW w:w="4961" w:type="dxa"/>
            <w:tcBorders>
              <w:left w:val="single" w:color="auto" w:sz="4" w:space="0"/>
            </w:tcBorders>
            <w:vAlign w:val="center"/>
          </w:tcPr>
          <w:p>
            <w:pPr>
              <w:jc w:val="left"/>
              <w:rPr>
                <w:rFonts w:ascii="宋体" w:hAnsi="宋体" w:cs="宋体"/>
                <w:szCs w:val="21"/>
              </w:rPr>
            </w:pPr>
            <w:r>
              <w:rPr>
                <w:rFonts w:hint="eastAsia" w:ascii="宋体" w:hAnsi="宋体" w:cs="宋体"/>
                <w:szCs w:val="21"/>
              </w:rPr>
              <w:t>计划进度安排科学合理，得4.0（不含）-5.0分；</w:t>
            </w:r>
          </w:p>
          <w:p>
            <w:pPr>
              <w:jc w:val="left"/>
              <w:rPr>
                <w:rFonts w:ascii="宋体" w:hAnsi="宋体" w:cs="宋体"/>
                <w:szCs w:val="21"/>
              </w:rPr>
            </w:pPr>
            <w:r>
              <w:rPr>
                <w:rFonts w:hint="eastAsia" w:ascii="宋体" w:hAnsi="宋体" w:cs="宋体"/>
                <w:szCs w:val="21"/>
              </w:rPr>
              <w:t>计划进度安排合理，得3.0（不含）-4.0（含）分；</w:t>
            </w:r>
          </w:p>
          <w:p>
            <w:pPr>
              <w:pStyle w:val="3"/>
              <w:snapToGrid w:val="0"/>
              <w:jc w:val="left"/>
              <w:rPr>
                <w:rFonts w:hAnsi="宋体" w:cs="宋体"/>
                <w:kern w:val="2"/>
                <w:sz w:val="21"/>
                <w:szCs w:val="21"/>
              </w:rPr>
            </w:pPr>
            <w:r>
              <w:rPr>
                <w:rFonts w:hint="eastAsia" w:hAnsi="宋体" w:cs="宋体"/>
                <w:kern w:val="2"/>
                <w:sz w:val="21"/>
                <w:szCs w:val="21"/>
              </w:rPr>
              <w:t>计划进度安排基本合理，得3.0分。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1134" w:type="dxa"/>
            <w:gridSpan w:val="2"/>
            <w:vMerge w:val="continue"/>
            <w:vAlign w:val="center"/>
          </w:tcPr>
          <w:p>
            <w:pPr>
              <w:autoSpaceDE w:val="0"/>
              <w:autoSpaceDN w:val="0"/>
              <w:snapToGrid w:val="0"/>
              <w:ind w:right="11"/>
              <w:jc w:val="center"/>
              <w:rPr>
                <w:rFonts w:ascii="宋体" w:hAnsi="宋体" w:cs="宋体"/>
                <w:kern w:val="0"/>
                <w:szCs w:val="21"/>
              </w:rPr>
            </w:pPr>
          </w:p>
        </w:tc>
        <w:tc>
          <w:tcPr>
            <w:tcW w:w="2410" w:type="dxa"/>
            <w:gridSpan w:val="2"/>
            <w:tcBorders>
              <w:right w:val="single" w:color="auto" w:sz="4" w:space="0"/>
            </w:tcBorders>
            <w:vAlign w:val="center"/>
          </w:tcPr>
          <w:p>
            <w:pPr>
              <w:spacing w:line="320" w:lineRule="exact"/>
              <w:ind w:left="20"/>
              <w:jc w:val="left"/>
              <w:rPr>
                <w:rFonts w:hAnsi="宋体"/>
                <w:szCs w:val="21"/>
              </w:rPr>
            </w:pPr>
            <w:r>
              <w:rPr>
                <w:rFonts w:hint="eastAsia" w:ascii="宋体" w:hAnsi="宋体" w:cs="宋体"/>
              </w:rPr>
              <w:t>项目研究质量与进度保障措施（</w:t>
            </w:r>
            <w:r>
              <w:rPr>
                <w:rFonts w:ascii="宋体" w:hAnsi="宋体" w:cs="宋体"/>
              </w:rPr>
              <w:t>6</w:t>
            </w:r>
            <w:r>
              <w:rPr>
                <w:rFonts w:hint="eastAsia" w:ascii="宋体" w:hAnsi="宋体" w:cs="宋体"/>
              </w:rPr>
              <w:t>分）</w:t>
            </w:r>
          </w:p>
        </w:tc>
        <w:tc>
          <w:tcPr>
            <w:tcW w:w="4961" w:type="dxa"/>
            <w:tcBorders>
              <w:left w:val="single" w:color="auto" w:sz="4" w:space="0"/>
            </w:tcBorders>
            <w:vAlign w:val="center"/>
          </w:tcPr>
          <w:p>
            <w:pPr>
              <w:jc w:val="left"/>
              <w:rPr>
                <w:rFonts w:ascii="宋体" w:hAnsi="宋体" w:cs="宋体"/>
                <w:szCs w:val="21"/>
              </w:rPr>
            </w:pPr>
            <w:r>
              <w:rPr>
                <w:rFonts w:hint="eastAsia" w:ascii="宋体" w:hAnsi="宋体" w:cs="宋体"/>
                <w:szCs w:val="21"/>
              </w:rPr>
              <w:t>研究质量与进度保障措施科学合理，可操作性强，得</w:t>
            </w:r>
            <w:r>
              <w:rPr>
                <w:rFonts w:ascii="宋体" w:hAnsi="宋体" w:cs="宋体"/>
                <w:szCs w:val="21"/>
              </w:rPr>
              <w:t>4</w:t>
            </w:r>
            <w:r>
              <w:rPr>
                <w:rFonts w:hint="eastAsia" w:ascii="宋体" w:hAnsi="宋体" w:cs="宋体"/>
                <w:szCs w:val="21"/>
              </w:rPr>
              <w:t>.</w:t>
            </w:r>
            <w:r>
              <w:rPr>
                <w:rFonts w:ascii="宋体" w:hAnsi="宋体" w:cs="宋体"/>
                <w:szCs w:val="21"/>
              </w:rPr>
              <w:t>8</w:t>
            </w:r>
            <w:r>
              <w:rPr>
                <w:rFonts w:hint="eastAsia" w:ascii="宋体" w:hAnsi="宋体" w:cs="宋体"/>
                <w:szCs w:val="21"/>
              </w:rPr>
              <w:t>(不含)-</w:t>
            </w:r>
            <w:r>
              <w:rPr>
                <w:rFonts w:ascii="宋体" w:hAnsi="宋体" w:cs="宋体"/>
                <w:szCs w:val="21"/>
              </w:rPr>
              <w:t>6</w:t>
            </w:r>
            <w:r>
              <w:rPr>
                <w:rFonts w:hint="eastAsia" w:ascii="宋体" w:hAnsi="宋体" w:cs="宋体"/>
                <w:szCs w:val="21"/>
              </w:rPr>
              <w:t>.0分；</w:t>
            </w:r>
          </w:p>
          <w:p>
            <w:pPr>
              <w:jc w:val="left"/>
              <w:rPr>
                <w:rFonts w:ascii="宋体" w:hAnsi="宋体" w:cs="宋体"/>
                <w:szCs w:val="21"/>
              </w:rPr>
            </w:pPr>
            <w:r>
              <w:rPr>
                <w:rFonts w:hint="eastAsia" w:ascii="宋体" w:hAnsi="宋体" w:cs="宋体"/>
                <w:szCs w:val="21"/>
              </w:rPr>
              <w:t>研究质量与进度保障措施较合理，可操作性较强，得</w:t>
            </w:r>
            <w:r>
              <w:rPr>
                <w:rFonts w:ascii="宋体" w:hAnsi="宋体" w:cs="宋体"/>
                <w:szCs w:val="21"/>
              </w:rPr>
              <w:t>3</w:t>
            </w:r>
            <w:r>
              <w:rPr>
                <w:rFonts w:hint="eastAsia" w:ascii="宋体" w:hAnsi="宋体" w:cs="宋体"/>
                <w:szCs w:val="21"/>
              </w:rPr>
              <w:t>.</w:t>
            </w:r>
            <w:r>
              <w:rPr>
                <w:rFonts w:ascii="宋体" w:hAnsi="宋体" w:cs="宋体"/>
                <w:szCs w:val="21"/>
              </w:rPr>
              <w:t>6</w:t>
            </w:r>
            <w:r>
              <w:rPr>
                <w:rFonts w:hint="eastAsia" w:ascii="宋体" w:hAnsi="宋体" w:cs="宋体"/>
                <w:szCs w:val="21"/>
              </w:rPr>
              <w:t>（不含）-</w:t>
            </w:r>
            <w:r>
              <w:rPr>
                <w:rFonts w:ascii="宋体" w:hAnsi="宋体" w:cs="宋体"/>
                <w:szCs w:val="21"/>
              </w:rPr>
              <w:t>4</w:t>
            </w:r>
            <w:r>
              <w:rPr>
                <w:rFonts w:hint="eastAsia" w:ascii="宋体" w:hAnsi="宋体" w:cs="宋体"/>
                <w:szCs w:val="21"/>
              </w:rPr>
              <w:t>.</w:t>
            </w:r>
            <w:r>
              <w:rPr>
                <w:rFonts w:ascii="宋体" w:hAnsi="宋体" w:cs="宋体"/>
                <w:szCs w:val="21"/>
              </w:rPr>
              <w:t>8</w:t>
            </w:r>
            <w:r>
              <w:rPr>
                <w:rFonts w:hint="eastAsia" w:ascii="宋体" w:hAnsi="宋体" w:cs="宋体"/>
                <w:szCs w:val="21"/>
              </w:rPr>
              <w:t>（含）分；</w:t>
            </w:r>
          </w:p>
          <w:p>
            <w:pPr>
              <w:pStyle w:val="3"/>
              <w:snapToGrid w:val="0"/>
              <w:jc w:val="left"/>
              <w:rPr>
                <w:rFonts w:hAnsi="宋体" w:cs="宋体"/>
                <w:kern w:val="2"/>
                <w:sz w:val="21"/>
                <w:szCs w:val="21"/>
              </w:rPr>
            </w:pPr>
            <w:r>
              <w:rPr>
                <w:rFonts w:hint="eastAsia" w:hAnsi="宋体" w:cs="宋体"/>
                <w:kern w:val="2"/>
                <w:sz w:val="21"/>
                <w:szCs w:val="21"/>
              </w:rPr>
              <w:t>研究质量与进度保障措施一般，可操作性一般，得</w:t>
            </w:r>
            <w:r>
              <w:rPr>
                <w:rFonts w:hAnsi="宋体" w:cs="宋体"/>
                <w:kern w:val="2"/>
                <w:sz w:val="21"/>
                <w:szCs w:val="21"/>
              </w:rPr>
              <w:t>3.6</w:t>
            </w:r>
            <w:r>
              <w:rPr>
                <w:rFonts w:hint="eastAsia" w:hAnsi="宋体" w:cs="宋体"/>
                <w:kern w:val="2"/>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1134" w:type="dxa"/>
            <w:gridSpan w:val="2"/>
            <w:vMerge w:val="continue"/>
            <w:vAlign w:val="center"/>
          </w:tcPr>
          <w:p>
            <w:pPr>
              <w:autoSpaceDE w:val="0"/>
              <w:autoSpaceDN w:val="0"/>
              <w:snapToGrid w:val="0"/>
              <w:ind w:right="11"/>
              <w:jc w:val="center"/>
              <w:rPr>
                <w:rFonts w:ascii="宋体" w:hAnsi="宋体" w:cs="宋体"/>
                <w:kern w:val="0"/>
                <w:szCs w:val="21"/>
              </w:rPr>
            </w:pPr>
          </w:p>
        </w:tc>
        <w:tc>
          <w:tcPr>
            <w:tcW w:w="2410" w:type="dxa"/>
            <w:gridSpan w:val="2"/>
            <w:tcBorders>
              <w:right w:val="single" w:color="auto" w:sz="4" w:space="0"/>
            </w:tcBorders>
            <w:vAlign w:val="center"/>
          </w:tcPr>
          <w:p>
            <w:pPr>
              <w:spacing w:line="320" w:lineRule="exact"/>
              <w:ind w:left="20"/>
              <w:jc w:val="left"/>
              <w:rPr>
                <w:rFonts w:ascii="宋体" w:hAnsi="宋体" w:cs="宋体"/>
              </w:rPr>
            </w:pPr>
            <w:r>
              <w:rPr>
                <w:rFonts w:hint="eastAsia" w:ascii="宋体" w:hAnsi="宋体" w:cs="宋体"/>
              </w:rPr>
              <w:t>研究预期成果及推广前景</w:t>
            </w:r>
          </w:p>
          <w:p>
            <w:pPr>
              <w:pStyle w:val="3"/>
              <w:snapToGrid w:val="0"/>
              <w:jc w:val="left"/>
              <w:rPr>
                <w:rFonts w:hAnsi="宋体"/>
                <w:kern w:val="2"/>
                <w:sz w:val="21"/>
                <w:szCs w:val="21"/>
              </w:rPr>
            </w:pPr>
            <w:r>
              <w:rPr>
                <w:rFonts w:hint="eastAsia" w:hAnsi="宋体" w:cs="宋体"/>
              </w:rPr>
              <w:t>（</w:t>
            </w:r>
            <w:r>
              <w:rPr>
                <w:rFonts w:hAnsi="宋体" w:cs="宋体"/>
              </w:rPr>
              <w:t>4</w:t>
            </w:r>
            <w:r>
              <w:rPr>
                <w:rFonts w:hint="eastAsia" w:hAnsi="宋体" w:cs="宋体"/>
              </w:rPr>
              <w:t>分）</w:t>
            </w:r>
          </w:p>
        </w:tc>
        <w:tc>
          <w:tcPr>
            <w:tcW w:w="4961" w:type="dxa"/>
            <w:tcBorders>
              <w:left w:val="single" w:color="auto" w:sz="4" w:space="0"/>
            </w:tcBorders>
            <w:vAlign w:val="center"/>
          </w:tcPr>
          <w:p>
            <w:pPr>
              <w:jc w:val="left"/>
              <w:rPr>
                <w:rFonts w:ascii="宋体" w:hAnsi="宋体" w:cs="宋体"/>
                <w:szCs w:val="21"/>
              </w:rPr>
            </w:pPr>
            <w:r>
              <w:rPr>
                <w:rFonts w:hint="eastAsia" w:ascii="宋体" w:hAnsi="宋体" w:cs="宋体"/>
                <w:szCs w:val="21"/>
              </w:rPr>
              <w:t>预期成果符合招标项目要求, 推广应用前景把握准确、描述具体清楚，得</w:t>
            </w:r>
            <w:r>
              <w:rPr>
                <w:rFonts w:ascii="宋体" w:hAnsi="宋体" w:cs="宋体"/>
                <w:szCs w:val="21"/>
              </w:rPr>
              <w:t>3.2</w:t>
            </w:r>
            <w:r>
              <w:rPr>
                <w:rFonts w:hint="eastAsia" w:ascii="宋体" w:hAnsi="宋体" w:cs="宋体"/>
                <w:szCs w:val="21"/>
              </w:rPr>
              <w:t>（不含）-</w:t>
            </w:r>
            <w:r>
              <w:rPr>
                <w:rFonts w:ascii="宋体" w:hAnsi="宋体" w:cs="宋体"/>
                <w:szCs w:val="21"/>
              </w:rPr>
              <w:t>4</w:t>
            </w:r>
            <w:r>
              <w:rPr>
                <w:rFonts w:hint="eastAsia" w:ascii="宋体" w:hAnsi="宋体" w:cs="宋体"/>
                <w:szCs w:val="21"/>
              </w:rPr>
              <w:t>.0分；</w:t>
            </w:r>
          </w:p>
          <w:p>
            <w:pPr>
              <w:jc w:val="left"/>
              <w:rPr>
                <w:rFonts w:ascii="宋体" w:hAnsi="宋体" w:cs="宋体"/>
                <w:szCs w:val="21"/>
              </w:rPr>
            </w:pPr>
            <w:r>
              <w:rPr>
                <w:rFonts w:hint="eastAsia" w:ascii="宋体" w:hAnsi="宋体" w:cs="宋体"/>
                <w:szCs w:val="21"/>
              </w:rPr>
              <w:t>预期成果较符合招标项目要求, 推广应用前景把握较准确、描述清楚，得</w:t>
            </w:r>
            <w:r>
              <w:rPr>
                <w:rFonts w:ascii="宋体" w:hAnsi="宋体" w:cs="宋体"/>
                <w:szCs w:val="21"/>
              </w:rPr>
              <w:t>2.4</w:t>
            </w:r>
            <w:r>
              <w:rPr>
                <w:rFonts w:hint="eastAsia" w:ascii="宋体" w:hAnsi="宋体" w:cs="宋体"/>
                <w:szCs w:val="21"/>
              </w:rPr>
              <w:t>（不含）-</w:t>
            </w:r>
            <w:r>
              <w:rPr>
                <w:rFonts w:ascii="宋体" w:hAnsi="宋体" w:cs="宋体"/>
                <w:szCs w:val="21"/>
              </w:rPr>
              <w:t>3.2</w:t>
            </w:r>
            <w:r>
              <w:rPr>
                <w:rFonts w:hint="eastAsia" w:ascii="宋体" w:hAnsi="宋体" w:cs="宋体"/>
                <w:szCs w:val="21"/>
              </w:rPr>
              <w:t>（含）分；</w:t>
            </w:r>
          </w:p>
          <w:p>
            <w:pPr>
              <w:pStyle w:val="3"/>
              <w:rPr>
                <w:rFonts w:hAnsi="宋体" w:cs="宋体"/>
                <w:kern w:val="2"/>
                <w:sz w:val="21"/>
                <w:szCs w:val="21"/>
              </w:rPr>
            </w:pPr>
            <w:r>
              <w:rPr>
                <w:rFonts w:hint="eastAsia" w:hAnsi="宋体" w:cs="宋体"/>
                <w:kern w:val="2"/>
                <w:sz w:val="21"/>
                <w:szCs w:val="21"/>
              </w:rPr>
              <w:t>预期成果基本符合招标项目要求, 推广应用前景把握较准确、描述清楚，得</w:t>
            </w:r>
            <w:r>
              <w:rPr>
                <w:rFonts w:hAnsi="宋体" w:cs="宋体"/>
                <w:kern w:val="2"/>
                <w:sz w:val="21"/>
                <w:szCs w:val="21"/>
              </w:rPr>
              <w:t>2.4</w:t>
            </w:r>
            <w:r>
              <w:rPr>
                <w:rFonts w:hint="eastAsia" w:hAnsi="宋体" w:cs="宋体"/>
                <w:kern w:val="2"/>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16" w:hRule="atLeast"/>
        </w:trPr>
        <w:tc>
          <w:tcPr>
            <w:tcW w:w="977" w:type="dxa"/>
            <w:vAlign w:val="center"/>
          </w:tcPr>
          <w:p>
            <w:pPr>
              <w:autoSpaceDE w:val="0"/>
              <w:autoSpaceDN w:val="0"/>
              <w:snapToGrid w:val="0"/>
              <w:ind w:right="11"/>
              <w:jc w:val="center"/>
              <w:rPr>
                <w:rFonts w:ascii="宋体" w:hAnsi="宋体" w:cs="宋体"/>
                <w:kern w:val="0"/>
                <w:szCs w:val="21"/>
              </w:rPr>
            </w:pPr>
            <w:r>
              <w:rPr>
                <w:rFonts w:hint="eastAsia" w:ascii="宋体" w:hAnsi="宋体"/>
              </w:rPr>
              <w:t>2.2.4(</w:t>
            </w:r>
            <w:r>
              <w:rPr>
                <w:rFonts w:ascii="宋体" w:hAnsi="宋体"/>
              </w:rPr>
              <w:t>2</w:t>
            </w:r>
            <w:r>
              <w:rPr>
                <w:rFonts w:hint="eastAsia" w:ascii="宋体" w:hAnsi="宋体"/>
              </w:rPr>
              <w:t>)</w:t>
            </w:r>
          </w:p>
        </w:tc>
        <w:tc>
          <w:tcPr>
            <w:tcW w:w="516"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主要人员</w:t>
            </w:r>
          </w:p>
        </w:tc>
        <w:tc>
          <w:tcPr>
            <w:tcW w:w="618"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20分</w:t>
            </w:r>
          </w:p>
        </w:tc>
        <w:tc>
          <w:tcPr>
            <w:tcW w:w="7371" w:type="dxa"/>
            <w:gridSpan w:val="3"/>
            <w:vAlign w:val="center"/>
          </w:tcPr>
          <w:p>
            <w:pPr>
              <w:pStyle w:val="3"/>
              <w:spacing w:line="300" w:lineRule="exact"/>
              <w:rPr>
                <w:rFonts w:hAnsi="宋体"/>
                <w:kern w:val="2"/>
                <w:sz w:val="21"/>
                <w:szCs w:val="21"/>
              </w:rPr>
            </w:pPr>
            <w:r>
              <w:rPr>
                <w:rFonts w:hint="eastAsia" w:hAnsi="宋体"/>
                <w:szCs w:val="21"/>
              </w:rPr>
              <w:t>项</w:t>
            </w:r>
            <w:r>
              <w:rPr>
                <w:rFonts w:hint="eastAsia" w:hAnsi="宋体"/>
                <w:kern w:val="2"/>
                <w:sz w:val="21"/>
                <w:szCs w:val="21"/>
              </w:rPr>
              <w:t>目负责人满足资格审查条件（项目负责人最低要求）得</w:t>
            </w:r>
            <w:r>
              <w:rPr>
                <w:rFonts w:hAnsi="宋体"/>
                <w:kern w:val="2"/>
                <w:sz w:val="21"/>
                <w:szCs w:val="21"/>
              </w:rPr>
              <w:t>12</w:t>
            </w:r>
            <w:r>
              <w:rPr>
                <w:rFonts w:hint="eastAsia" w:hAnsi="宋体"/>
                <w:kern w:val="2"/>
                <w:sz w:val="21"/>
                <w:szCs w:val="21"/>
              </w:rPr>
              <w:t>分。</w:t>
            </w:r>
          </w:p>
          <w:p>
            <w:pPr>
              <w:pStyle w:val="3"/>
              <w:spacing w:line="300" w:lineRule="exact"/>
              <w:rPr>
                <w:rFonts w:hAnsi="宋体"/>
                <w:szCs w:val="21"/>
              </w:rPr>
            </w:pPr>
            <w:r>
              <w:rPr>
                <w:rFonts w:hint="eastAsia" w:hAnsi="宋体"/>
                <w:kern w:val="2"/>
                <w:sz w:val="21"/>
                <w:szCs w:val="21"/>
              </w:rPr>
              <w:t>项目负责人每增加一项满足资格审查条件（项目负责人最低要求）的业绩加8分，最多加8分。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76" w:hRule="exact"/>
        </w:trPr>
        <w:tc>
          <w:tcPr>
            <w:tcW w:w="977" w:type="dxa"/>
            <w:vAlign w:val="center"/>
          </w:tcPr>
          <w:p>
            <w:pPr>
              <w:autoSpaceDE w:val="0"/>
              <w:autoSpaceDN w:val="0"/>
              <w:snapToGrid w:val="0"/>
              <w:ind w:right="11"/>
              <w:jc w:val="center"/>
              <w:rPr>
                <w:rFonts w:ascii="宋体" w:hAnsi="宋体"/>
              </w:rPr>
            </w:pPr>
            <w:r>
              <w:rPr>
                <w:rFonts w:hint="eastAsia" w:ascii="宋体" w:hAnsi="宋体"/>
              </w:rPr>
              <w:t>2.2.4(</w:t>
            </w:r>
            <w:r>
              <w:rPr>
                <w:rFonts w:ascii="宋体" w:hAnsi="宋体"/>
              </w:rPr>
              <w:t>3</w:t>
            </w:r>
            <w:r>
              <w:rPr>
                <w:rFonts w:hint="eastAsia" w:ascii="宋体" w:hAnsi="宋体"/>
              </w:rPr>
              <w:t>)</w:t>
            </w:r>
          </w:p>
        </w:tc>
        <w:tc>
          <w:tcPr>
            <w:tcW w:w="516" w:type="dxa"/>
            <w:vAlign w:val="center"/>
          </w:tcPr>
          <w:p>
            <w:pPr>
              <w:autoSpaceDE w:val="0"/>
              <w:autoSpaceDN w:val="0"/>
              <w:spacing w:line="360" w:lineRule="exact"/>
              <w:jc w:val="center"/>
              <w:rPr>
                <w:rFonts w:ascii="宋体" w:hAnsi="宋体"/>
                <w:kern w:val="0"/>
                <w:szCs w:val="21"/>
              </w:rPr>
            </w:pPr>
            <w:r>
              <w:rPr>
                <w:rFonts w:hint="eastAsia" w:ascii="宋体" w:hAnsi="宋体"/>
                <w:kern w:val="0"/>
                <w:szCs w:val="21"/>
              </w:rPr>
              <w:t>评标价</w:t>
            </w:r>
          </w:p>
        </w:tc>
        <w:tc>
          <w:tcPr>
            <w:tcW w:w="618" w:type="dxa"/>
            <w:vAlign w:val="center"/>
          </w:tcPr>
          <w:p>
            <w:pPr>
              <w:autoSpaceDE w:val="0"/>
              <w:autoSpaceDN w:val="0"/>
              <w:spacing w:line="192" w:lineRule="exact"/>
              <w:ind w:left="2" w:right="2"/>
              <w:jc w:val="center"/>
              <w:rPr>
                <w:rFonts w:ascii="宋体" w:hAnsi="宋体"/>
                <w:kern w:val="0"/>
                <w:szCs w:val="21"/>
              </w:rPr>
            </w:pPr>
            <w:r>
              <w:rPr>
                <w:rFonts w:hint="eastAsia" w:ascii="宋体" w:hAnsi="宋体"/>
                <w:kern w:val="0"/>
                <w:szCs w:val="21"/>
              </w:rPr>
              <w:t>10分</w:t>
            </w:r>
          </w:p>
        </w:tc>
        <w:tc>
          <w:tcPr>
            <w:tcW w:w="7371" w:type="dxa"/>
            <w:gridSpan w:val="3"/>
            <w:vAlign w:val="center"/>
          </w:tcPr>
          <w:p>
            <w:pPr>
              <w:spacing w:line="360" w:lineRule="exact"/>
              <w:rPr>
                <w:rFonts w:ascii="宋体" w:hAnsi="宋体"/>
                <w:szCs w:val="21"/>
              </w:rPr>
            </w:pPr>
            <w:r>
              <w:rPr>
                <w:rFonts w:hint="eastAsia" w:ascii="宋体" w:hAnsi="宋体"/>
                <w:szCs w:val="21"/>
              </w:rPr>
              <w:t>评标价得分计算公式：</w:t>
            </w:r>
          </w:p>
          <w:p>
            <w:pPr>
              <w:spacing w:line="360" w:lineRule="exact"/>
              <w:rPr>
                <w:rFonts w:ascii="宋体" w:hAnsi="宋体"/>
                <w:szCs w:val="21"/>
              </w:rPr>
            </w:pPr>
            <w:r>
              <w:rPr>
                <w:rFonts w:hint="eastAsia" w:ascii="宋体" w:hAnsi="宋体"/>
                <w:szCs w:val="21"/>
              </w:rPr>
              <w:t>（1）如果投标人的评标价＞评标基准价，则评标价得分=F-偏差率×100×E1；</w:t>
            </w:r>
          </w:p>
          <w:p>
            <w:pPr>
              <w:spacing w:line="360" w:lineRule="exact"/>
              <w:rPr>
                <w:rFonts w:ascii="宋体" w:hAnsi="宋体"/>
                <w:szCs w:val="21"/>
              </w:rPr>
            </w:pPr>
            <w:r>
              <w:rPr>
                <w:rFonts w:hint="eastAsia" w:ascii="宋体" w:hAnsi="宋体"/>
                <w:szCs w:val="21"/>
              </w:rPr>
              <w:t>（2）如果投标人的评标价≤评标基准价，则评标价得分=F+偏差率×100×E2。</w:t>
            </w:r>
          </w:p>
          <w:p>
            <w:pPr>
              <w:pStyle w:val="3"/>
              <w:spacing w:line="360" w:lineRule="exact"/>
              <w:rPr>
                <w:rFonts w:hAnsi="宋体"/>
                <w:kern w:val="2"/>
                <w:sz w:val="21"/>
                <w:szCs w:val="21"/>
              </w:rPr>
            </w:pPr>
            <w:r>
              <w:rPr>
                <w:rFonts w:hint="eastAsia" w:hAnsi="宋体"/>
                <w:kern w:val="2"/>
                <w:sz w:val="21"/>
                <w:szCs w:val="21"/>
              </w:rPr>
              <w:t>其中，F=10；E1=0.2；E2=0.1；评标价最低得分为0分。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49" w:hRule="atLeast"/>
        </w:trPr>
        <w:tc>
          <w:tcPr>
            <w:tcW w:w="977" w:type="dxa"/>
            <w:vAlign w:val="center"/>
          </w:tcPr>
          <w:p>
            <w:pPr>
              <w:autoSpaceDE w:val="0"/>
              <w:autoSpaceDN w:val="0"/>
              <w:snapToGrid w:val="0"/>
              <w:ind w:right="11"/>
              <w:jc w:val="center"/>
              <w:rPr>
                <w:rFonts w:ascii="宋体" w:hAnsi="宋体"/>
              </w:rPr>
            </w:pPr>
            <w:r>
              <w:rPr>
                <w:rFonts w:hint="eastAsia" w:ascii="宋体" w:hAnsi="宋体"/>
              </w:rPr>
              <w:t>2.2.4(</w:t>
            </w:r>
            <w:r>
              <w:rPr>
                <w:rFonts w:ascii="宋体" w:hAnsi="宋体"/>
              </w:rPr>
              <w:t>4</w:t>
            </w:r>
            <w:r>
              <w:rPr>
                <w:rFonts w:hint="eastAsia" w:ascii="宋体" w:hAnsi="宋体"/>
              </w:rPr>
              <w:t>)</w:t>
            </w:r>
          </w:p>
        </w:tc>
        <w:tc>
          <w:tcPr>
            <w:tcW w:w="516"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其他因素</w:t>
            </w:r>
          </w:p>
        </w:tc>
        <w:tc>
          <w:tcPr>
            <w:tcW w:w="618"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业绩</w:t>
            </w:r>
          </w:p>
          <w:p>
            <w:pPr>
              <w:autoSpaceDE w:val="0"/>
              <w:autoSpaceDN w:val="0"/>
              <w:snapToGrid w:val="0"/>
              <w:ind w:right="11"/>
              <w:jc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5</w:t>
            </w:r>
            <w:r>
              <w:rPr>
                <w:rFonts w:hint="eastAsia" w:ascii="宋体" w:hAnsi="宋体" w:cs="宋体"/>
                <w:kern w:val="0"/>
                <w:szCs w:val="21"/>
              </w:rPr>
              <w:t>分</w:t>
            </w:r>
          </w:p>
        </w:tc>
        <w:tc>
          <w:tcPr>
            <w:tcW w:w="7371" w:type="dxa"/>
            <w:gridSpan w:val="3"/>
            <w:vAlign w:val="center"/>
          </w:tcPr>
          <w:p>
            <w:pPr>
              <w:rPr>
                <w:rFonts w:ascii="宋体" w:hAnsi="宋体"/>
                <w:szCs w:val="21"/>
              </w:rPr>
            </w:pPr>
            <w:r>
              <w:rPr>
                <w:rFonts w:hint="eastAsia" w:ascii="宋体" w:hAnsi="宋体"/>
                <w:szCs w:val="21"/>
              </w:rPr>
              <w:t>投标人满足资格审查条件（业绩最低要求）得</w:t>
            </w:r>
            <w:r>
              <w:rPr>
                <w:rFonts w:ascii="宋体" w:hAnsi="宋体"/>
                <w:szCs w:val="21"/>
              </w:rPr>
              <w:t>15</w:t>
            </w:r>
            <w:r>
              <w:rPr>
                <w:rFonts w:hint="eastAsia" w:ascii="宋体" w:hAnsi="宋体"/>
                <w:szCs w:val="21"/>
              </w:rPr>
              <w:t>分。</w:t>
            </w:r>
          </w:p>
          <w:p>
            <w:pPr>
              <w:autoSpaceDE w:val="0"/>
              <w:autoSpaceDN w:val="0"/>
              <w:spacing w:line="360" w:lineRule="exact"/>
              <w:ind w:left="11" w:right="150"/>
              <w:rPr>
                <w:rFonts w:ascii="宋体" w:hAnsi="宋体"/>
                <w:szCs w:val="21"/>
              </w:rPr>
            </w:pPr>
            <w:r>
              <w:rPr>
                <w:rFonts w:hint="eastAsia" w:ascii="宋体" w:hAnsi="宋体" w:cs="宋体"/>
                <w:kern w:val="0"/>
                <w:szCs w:val="21"/>
              </w:rPr>
              <w:t>投标人</w:t>
            </w:r>
            <w:r>
              <w:rPr>
                <w:rFonts w:hint="eastAsia" w:ascii="宋体" w:hAnsi="宋体"/>
                <w:szCs w:val="21"/>
              </w:rPr>
              <w:t>每增加一项满足资格审查条件（业绩最低要求）的业绩加</w:t>
            </w:r>
            <w:r>
              <w:rPr>
                <w:rFonts w:ascii="宋体" w:hAnsi="宋体"/>
                <w:szCs w:val="21"/>
              </w:rPr>
              <w:t>5</w:t>
            </w:r>
            <w:r>
              <w:rPr>
                <w:rFonts w:hint="eastAsia" w:ascii="宋体" w:hAnsi="宋体"/>
                <w:szCs w:val="21"/>
              </w:rPr>
              <w:t>分，最多加</w:t>
            </w:r>
            <w:r>
              <w:rPr>
                <w:rFonts w:ascii="宋体" w:hAnsi="宋体"/>
                <w:szCs w:val="21"/>
              </w:rPr>
              <w:t>10</w:t>
            </w:r>
            <w:r>
              <w:rPr>
                <w:rFonts w:hint="eastAsia" w:ascii="宋体" w:hAnsi="宋体"/>
                <w:szCs w:val="21"/>
              </w:rPr>
              <w:t>分。</w:t>
            </w:r>
          </w:p>
        </w:tc>
      </w:tr>
    </w:tbl>
    <w:p>
      <w:bookmarkStart w:id="9" w:name="_Hlk71130285"/>
      <w:r>
        <w:rPr>
          <w:rFonts w:hint="eastAsia" w:ascii="宋体" w:hAnsi="宋体"/>
          <w:kern w:val="0"/>
          <w:sz w:val="20"/>
          <w:szCs w:val="20"/>
        </w:rPr>
        <w:t>注：</w:t>
      </w:r>
      <w:bookmarkEnd w:id="9"/>
      <w:r>
        <w:rPr>
          <w:rFonts w:hint="eastAsia" w:ascii="宋体" w:hAnsi="宋体"/>
          <w:kern w:val="0"/>
          <w:sz w:val="20"/>
          <w:szCs w:val="20"/>
        </w:rPr>
        <w:t>（1）技术建议书以评标委员会各成员的打分平均值确定；评委打分保留小数点后1位，汇总得分保留小数点后两位。（2）技术建议书评审因素缺项则该项得0分。</w:t>
      </w:r>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MmIzNmM0MmQzNmQxNDU2NDNjZTJkYzZkYzZlNjcifQ=="/>
  </w:docVars>
  <w:rsids>
    <w:rsidRoot w:val="00000000"/>
    <w:rsid w:val="2FDE1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2023-11-08T00:28:43Z</dcterms:created>
  <dc:creator>Administrator</dc:creator>
  <cp:lastModifiedBy>李娜</cp:lastModifiedBy>
  <dcterms:modified xsi:type="dcterms:W3CDTF">2023-11-08T00:28:49Z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D108D872B78142BE8E4FBBFDA566EE9C_12</vt:lpwstr>
  </property>
</Properties>
</file>