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156" w:beforeLines="50" w:after="156" w:afterLines="50" w:line="240" w:lineRule="auto"/>
      </w:pPr>
      <w:bookmarkStart w:id="0" w:name="_Toc146615587"/>
      <w:bookmarkStart w:id="1" w:name="OLE_LINK3"/>
      <w:bookmarkStart w:id="2" w:name="OLE_LINK1"/>
      <w:bookmarkStart w:id="10" w:name="_GoBack"/>
      <w:bookmarkEnd w:id="10"/>
      <w:r>
        <w:rPr>
          <w:rFonts w:hint="eastAsia" w:ascii="宋体" w:hAnsi="宋体"/>
          <w:sz w:val="24"/>
          <w:szCs w:val="24"/>
        </w:rPr>
        <w:t>附件</w:t>
      </w:r>
      <w:r>
        <w:rPr>
          <w:rFonts w:ascii="宋体" w:hAnsi="宋体"/>
          <w:sz w:val="24"/>
          <w:szCs w:val="24"/>
        </w:rPr>
        <w:t>1</w:t>
      </w:r>
      <w:r>
        <w:rPr>
          <w:rFonts w:hint="eastAsia" w:ascii="宋体" w:hAnsi="宋体"/>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9168" w:type="dxa"/>
            <w:gridSpan w:val="2"/>
            <w:vAlign w:val="center"/>
          </w:tcPr>
          <w:p>
            <w:pPr>
              <w:adjustRightInd w:val="0"/>
              <w:snapToGrid w:val="0"/>
              <w:spacing w:line="320" w:lineRule="exact"/>
              <w:ind w:left="-2" w:leftChars="-1"/>
              <w:jc w:val="center"/>
              <w:rPr>
                <w:rFonts w:ascii="宋体" w:hAnsi="宋体"/>
                <w:szCs w:val="21"/>
              </w:rPr>
            </w:pPr>
            <w:r>
              <w:rPr>
                <w:rFonts w:hint="eastAsia" w:ascii="宋体" w:hAnsi="宋体"/>
                <w:szCs w:val="21"/>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466" w:type="dxa"/>
            <w:vAlign w:val="center"/>
          </w:tcPr>
          <w:p>
            <w:pPr>
              <w:snapToGrid w:val="0"/>
              <w:spacing w:line="320" w:lineRule="exact"/>
              <w:jc w:val="center"/>
              <w:rPr>
                <w:rFonts w:ascii="宋体" w:hAnsi="宋体"/>
                <w:szCs w:val="21"/>
              </w:rPr>
            </w:pPr>
            <w:r>
              <w:rPr>
                <w:rFonts w:hint="eastAsia" w:ascii="宋体" w:hAnsi="宋体"/>
                <w:szCs w:val="21"/>
              </w:rPr>
              <w:t>营业执照</w:t>
            </w:r>
          </w:p>
        </w:tc>
        <w:tc>
          <w:tcPr>
            <w:tcW w:w="7702" w:type="dxa"/>
            <w:vAlign w:val="center"/>
          </w:tcPr>
          <w:p>
            <w:pPr>
              <w:snapToGrid w:val="0"/>
              <w:spacing w:line="320" w:lineRule="exact"/>
              <w:rPr>
                <w:rFonts w:ascii="宋体" w:hAnsi="宋体"/>
                <w:szCs w:val="21"/>
              </w:rPr>
            </w:pPr>
            <w:r>
              <w:rPr>
                <w:rFonts w:hint="eastAsia" w:ascii="宋体" w:hAnsi="宋体"/>
                <w:kern w:val="0"/>
                <w:szCs w:val="21"/>
              </w:rPr>
              <w:t>具有独立法人资格，具有有效的企业营业执照或事业单位法人证书。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466" w:type="dxa"/>
            <w:vAlign w:val="center"/>
          </w:tcPr>
          <w:p>
            <w:pPr>
              <w:snapToGrid w:val="0"/>
              <w:spacing w:line="320" w:lineRule="exact"/>
              <w:jc w:val="center"/>
              <w:rPr>
                <w:rFonts w:ascii="宋体" w:hAnsi="宋体"/>
                <w:szCs w:val="21"/>
              </w:rPr>
            </w:pPr>
            <w:r>
              <w:rPr>
                <w:rFonts w:hint="eastAsia" w:ascii="宋体" w:hAnsi="宋体"/>
                <w:szCs w:val="21"/>
              </w:rPr>
              <w:t>资质条件</w:t>
            </w:r>
          </w:p>
        </w:tc>
        <w:tc>
          <w:tcPr>
            <w:tcW w:w="7702" w:type="dxa"/>
            <w:vAlign w:val="center"/>
          </w:tcPr>
          <w:p>
            <w:pPr>
              <w:snapToGrid w:val="0"/>
              <w:spacing w:line="360" w:lineRule="exact"/>
              <w:rPr>
                <w:rFonts w:ascii="宋体" w:hAnsi="宋体"/>
                <w:kern w:val="0"/>
                <w:szCs w:val="21"/>
              </w:rPr>
            </w:pPr>
            <w:r>
              <w:rPr>
                <w:rFonts w:hint="eastAsia" w:ascii="宋体" w:hAnsi="宋体"/>
                <w:szCs w:val="21"/>
              </w:rPr>
              <w:t>投标人</w:t>
            </w:r>
            <w:r>
              <w:rPr>
                <w:rFonts w:hint="eastAsia" w:ascii="宋体" w:hAnsi="宋体"/>
                <w:kern w:val="0"/>
                <w:szCs w:val="21"/>
              </w:rPr>
              <w:t>具有交通运输主管部门颁发的公路工程综合甲级试验检测资质证书。</w:t>
            </w:r>
          </w:p>
          <w:p>
            <w:pPr>
              <w:snapToGrid w:val="0"/>
              <w:spacing w:line="360" w:lineRule="exact"/>
              <w:rPr>
                <w:rFonts w:ascii="宋体" w:hAnsi="宋体"/>
                <w:kern w:val="0"/>
                <w:szCs w:val="21"/>
              </w:rPr>
            </w:pPr>
            <w:r>
              <w:rPr>
                <w:rFonts w:hint="eastAsia" w:ascii="宋体" w:hAnsi="宋体"/>
                <w:szCs w:val="21"/>
              </w:rPr>
              <w:t>投标人</w:t>
            </w:r>
            <w:r>
              <w:rPr>
                <w:rFonts w:hint="eastAsia" w:ascii="宋体" w:hAnsi="宋体"/>
                <w:kern w:val="0"/>
                <w:szCs w:val="21"/>
              </w:rPr>
              <w:t>具有交通运输主管部门颁发的</w:t>
            </w:r>
            <w:r>
              <w:rPr>
                <w:rFonts w:ascii="宋体" w:hAnsi="宋体"/>
                <w:kern w:val="0"/>
                <w:szCs w:val="21"/>
              </w:rPr>
              <w:t>公路工程</w:t>
            </w:r>
            <w:r>
              <w:rPr>
                <w:rFonts w:hint="eastAsia" w:ascii="宋体" w:hAnsi="宋体"/>
                <w:kern w:val="0"/>
                <w:szCs w:val="21"/>
              </w:rPr>
              <w:t>交通工程专项试验检测资质证书。</w:t>
            </w:r>
          </w:p>
          <w:p>
            <w:pPr>
              <w:snapToGrid w:val="0"/>
              <w:spacing w:line="360" w:lineRule="exact"/>
              <w:rPr>
                <w:rFonts w:ascii="宋体" w:hAnsi="宋体"/>
                <w:szCs w:val="21"/>
              </w:rPr>
            </w:pPr>
            <w:r>
              <w:rPr>
                <w:rFonts w:hint="eastAsia" w:ascii="宋体" w:hAnsi="宋体"/>
                <w:szCs w:val="21"/>
              </w:rPr>
              <w:t>投标人具有建设行政主管部门颁发的《建设工程质量检测机构资质证书》。</w:t>
            </w:r>
          </w:p>
          <w:p>
            <w:pPr>
              <w:snapToGrid w:val="0"/>
              <w:spacing w:after="156" w:afterLines="50" w:line="320" w:lineRule="exact"/>
              <w:rPr>
                <w:rFonts w:ascii="宋体" w:hAnsi="宋体"/>
                <w:szCs w:val="21"/>
              </w:rPr>
            </w:pPr>
            <w:r>
              <w:rPr>
                <w:rFonts w:hint="eastAsia" w:ascii="宋体" w:hAnsi="宋体"/>
                <w:kern w:val="0"/>
                <w:szCs w:val="21"/>
              </w:rPr>
              <w:t>投标人（以联合体形式投标的包含联合体各成员）具有省级及以上技术监督部门颁发的相应的CMA计量认证证书 (独立法人单位下属的非独立法人检测机构具有上述资质的，视为该独立法人单位具有相应资质)；其中，具有“</w:t>
            </w:r>
            <w:r>
              <w:rPr>
                <w:rFonts w:hint="eastAsia" w:ascii="宋体" w:hAnsi="宋体"/>
                <w:szCs w:val="21"/>
              </w:rPr>
              <w:t>建设工程质量检测机构资质证书</w:t>
            </w:r>
            <w:r>
              <w:rPr>
                <w:rFonts w:hint="eastAsia" w:ascii="宋体" w:hAnsi="宋体"/>
                <w:kern w:val="0"/>
                <w:szCs w:val="21"/>
              </w:rPr>
              <w:t>”的投标人其CMA计量认证证书中应包含见证取样及构及钢结构相关检测参数。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168" w:type="dxa"/>
            <w:gridSpan w:val="2"/>
            <w:vAlign w:val="center"/>
          </w:tcPr>
          <w:p>
            <w:pPr>
              <w:snapToGrid w:val="0"/>
              <w:spacing w:line="320" w:lineRule="exact"/>
              <w:rPr>
                <w:rFonts w:ascii="宋体" w:hAnsi="宋体"/>
                <w:szCs w:val="21"/>
              </w:rPr>
            </w:pPr>
            <w:r>
              <w:rPr>
                <w:rFonts w:hint="eastAsia" w:ascii="宋体" w:hAnsi="宋体"/>
                <w:szCs w:val="21"/>
              </w:rPr>
              <w:t>以联合体形式投标的，联合体所有成员数量不得超过3家，联合体牵头人应具备“公路工程综合甲级试验检测资质”，联合体成员应满足本项规定的资格条件。</w:t>
            </w:r>
          </w:p>
        </w:tc>
      </w:tr>
    </w:tbl>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7"/>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113"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113" w:type="dxa"/>
            <w:vAlign w:val="center"/>
          </w:tcPr>
          <w:p>
            <w:pPr>
              <w:snapToGrid w:val="0"/>
              <w:spacing w:line="360" w:lineRule="exact"/>
              <w:ind w:firstLine="422" w:firstLineChars="200"/>
              <w:rPr>
                <w:rFonts w:ascii="宋体" w:hAnsi="宋体"/>
                <w:kern w:val="0"/>
                <w:szCs w:val="21"/>
              </w:rPr>
            </w:pPr>
            <w:r>
              <w:rPr>
                <w:rFonts w:hint="eastAsia" w:ascii="宋体" w:hAnsi="宋体"/>
                <w:b/>
                <w:kern w:val="0"/>
                <w:szCs w:val="21"/>
              </w:rPr>
              <w:t>公路检测业绩：</w:t>
            </w:r>
            <w:r>
              <w:rPr>
                <w:rFonts w:hint="eastAsia" w:ascii="宋体" w:hAnsi="宋体"/>
                <w:kern w:val="0"/>
                <w:szCs w:val="21"/>
              </w:rPr>
              <w:t>近5年（2018年</w:t>
            </w:r>
            <w:r>
              <w:rPr>
                <w:rFonts w:ascii="宋体" w:hAnsi="宋体"/>
                <w:kern w:val="0"/>
                <w:szCs w:val="21"/>
              </w:rPr>
              <w:t>9月1日</w:t>
            </w:r>
            <w:r>
              <w:rPr>
                <w:rFonts w:hint="eastAsia" w:ascii="宋体" w:hAnsi="宋体"/>
                <w:kern w:val="0"/>
                <w:szCs w:val="21"/>
              </w:rPr>
              <w:t>至投标截止时间，以合同签订时间为准），至少承担过1项高速公路（新建或改扩建或养护）检测项目业绩。</w:t>
            </w:r>
          </w:p>
          <w:p>
            <w:pPr>
              <w:snapToGrid w:val="0"/>
              <w:spacing w:line="360" w:lineRule="exact"/>
              <w:ind w:firstLine="422" w:firstLineChars="200"/>
              <w:rPr>
                <w:rFonts w:ascii="宋体" w:hAnsi="宋体"/>
                <w:kern w:val="0"/>
                <w:szCs w:val="21"/>
              </w:rPr>
            </w:pPr>
            <w:r>
              <w:rPr>
                <w:rFonts w:hint="eastAsia" w:ascii="宋体" w:hAnsi="宋体"/>
                <w:b/>
                <w:kern w:val="0"/>
                <w:szCs w:val="21"/>
              </w:rPr>
              <w:t>公路机电检测业绩：</w:t>
            </w:r>
            <w:r>
              <w:rPr>
                <w:rFonts w:hint="eastAsia" w:ascii="宋体" w:hAnsi="宋体"/>
                <w:kern w:val="0"/>
                <w:szCs w:val="21"/>
              </w:rPr>
              <w:t>近5年（2018年</w:t>
            </w:r>
            <w:r>
              <w:rPr>
                <w:rFonts w:ascii="宋体" w:hAnsi="宋体"/>
                <w:kern w:val="0"/>
                <w:szCs w:val="21"/>
              </w:rPr>
              <w:t>9月1日</w:t>
            </w:r>
            <w:r>
              <w:rPr>
                <w:rFonts w:hint="eastAsia" w:ascii="宋体" w:hAnsi="宋体"/>
                <w:kern w:val="0"/>
                <w:szCs w:val="21"/>
              </w:rPr>
              <w:t>至投标截止时间，以合同签订时间为准），至少承担过1项高速公路（新建或改扩建或养护）机电检测项目业绩。</w:t>
            </w:r>
          </w:p>
          <w:p>
            <w:pPr>
              <w:snapToGrid w:val="0"/>
              <w:spacing w:line="360" w:lineRule="exact"/>
              <w:ind w:firstLine="422" w:firstLineChars="200"/>
              <w:rPr>
                <w:rFonts w:ascii="宋体" w:hAnsi="宋体"/>
                <w:kern w:val="0"/>
                <w:szCs w:val="21"/>
              </w:rPr>
            </w:pPr>
            <w:r>
              <w:rPr>
                <w:rFonts w:hint="eastAsia" w:ascii="宋体" w:hAnsi="宋体"/>
                <w:b/>
                <w:kern w:val="0"/>
                <w:szCs w:val="21"/>
              </w:rPr>
              <w:t>房建检测业绩：</w:t>
            </w:r>
            <w:r>
              <w:rPr>
                <w:rFonts w:hint="eastAsia" w:ascii="宋体" w:hAnsi="宋体"/>
                <w:kern w:val="0"/>
                <w:szCs w:val="21"/>
              </w:rPr>
              <w:t>近5年（2018年</w:t>
            </w:r>
            <w:r>
              <w:rPr>
                <w:rFonts w:ascii="宋体" w:hAnsi="宋体"/>
                <w:kern w:val="0"/>
                <w:szCs w:val="21"/>
              </w:rPr>
              <w:t>9月1日</w:t>
            </w:r>
            <w:r>
              <w:rPr>
                <w:rFonts w:hint="eastAsia" w:ascii="宋体" w:hAnsi="宋体"/>
                <w:kern w:val="0"/>
                <w:szCs w:val="21"/>
              </w:rPr>
              <w:t>至投标截止时间，以合同签订时间为准），至少承担过</w:t>
            </w:r>
            <w:r>
              <w:rPr>
                <w:rFonts w:hint="eastAsia" w:ascii="宋体" w:hAnsi="宋体"/>
                <w:szCs w:val="21"/>
              </w:rPr>
              <w:t>1项房建工程质量检测项目业绩</w:t>
            </w:r>
            <w:r>
              <w:rPr>
                <w:rFonts w:hint="eastAsia" w:ascii="宋体" w:hAnsi="宋体"/>
                <w:kern w:val="0"/>
                <w:szCs w:val="21"/>
              </w:rPr>
              <w:t>。</w:t>
            </w:r>
          </w:p>
          <w:p>
            <w:pPr>
              <w:snapToGrid w:val="0"/>
              <w:spacing w:line="360" w:lineRule="exact"/>
              <w:ind w:firstLine="420" w:firstLineChars="200"/>
              <w:rPr>
                <w:rFonts w:ascii="宋体" w:hAnsi="宋体"/>
                <w:szCs w:val="21"/>
              </w:rPr>
            </w:pPr>
            <w:r>
              <w:rPr>
                <w:rFonts w:hint="eastAsia" w:ascii="宋体" w:hAnsi="宋体"/>
                <w:szCs w:val="21"/>
              </w:rPr>
              <w:t>以联合体形式投标的，联合体成员应满足本项规定的资格条件。</w:t>
            </w:r>
          </w:p>
        </w:tc>
      </w:tr>
    </w:tbl>
    <w:p>
      <w:pPr>
        <w:rPr>
          <w:rFonts w:ascii="宋体" w:hAnsi="宋体"/>
          <w:sz w:val="24"/>
          <w:szCs w:val="24"/>
        </w:rPr>
      </w:pPr>
    </w:p>
    <w:p>
      <w:pPr>
        <w:rPr>
          <w:rFonts w:ascii="宋体" w:hAnsi="宋体"/>
          <w:sz w:val="24"/>
          <w:szCs w:val="24"/>
        </w:rPr>
      </w:pPr>
    </w:p>
    <w:p>
      <w:pPr>
        <w:widowControl/>
        <w:jc w:val="left"/>
        <w:rPr>
          <w:rFonts w:ascii="宋体" w:hAnsi="宋体"/>
          <w:b/>
          <w:sz w:val="24"/>
          <w:szCs w:val="24"/>
        </w:rPr>
      </w:pPr>
      <w:r>
        <w:rPr>
          <w:rFonts w:ascii="宋体" w:hAnsi="宋体"/>
          <w:b/>
          <w:sz w:val="24"/>
          <w:szCs w:val="24"/>
        </w:rPr>
        <w:br w:type="page"/>
      </w: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7"/>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113"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113"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投标人在过去1年中（2022年</w:t>
            </w:r>
            <w:r>
              <w:rPr>
                <w:rFonts w:ascii="宋体" w:hAnsi="宋体"/>
                <w:kern w:val="0"/>
                <w:szCs w:val="21"/>
              </w:rPr>
              <w:t>9月1日</w:t>
            </w:r>
            <w:r>
              <w:rPr>
                <w:rFonts w:hint="eastAsia" w:ascii="宋体" w:hAnsi="宋体"/>
                <w:kern w:val="0"/>
                <w:szCs w:val="21"/>
              </w:rPr>
              <w:t>至投标截止时间）不曾在高速公路检测合同中违约被逐或因投标人自身的原因而使检测合同被解除。</w:t>
            </w:r>
          </w:p>
          <w:p>
            <w:pPr>
              <w:snapToGrid w:val="0"/>
              <w:spacing w:line="360" w:lineRule="exact"/>
              <w:ind w:firstLine="420" w:firstLineChars="200"/>
              <w:rPr>
                <w:rFonts w:ascii="宋体" w:hAnsi="宋体"/>
                <w:szCs w:val="21"/>
              </w:rPr>
            </w:pPr>
            <w:r>
              <w:rPr>
                <w:rFonts w:hint="eastAsia" w:ascii="宋体" w:hAnsi="宋体"/>
                <w:szCs w:val="21"/>
              </w:rPr>
              <w:t>以联合体形式投标的，联合体各成员均应满足本项规定的资格条件。</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w:t>
      </w:r>
    </w:p>
    <w:p>
      <w:pPr>
        <w:jc w:val="center"/>
        <w:rPr>
          <w:rFonts w:ascii="宋体" w:hAnsi="宋体"/>
          <w:b/>
          <w:sz w:val="24"/>
          <w:szCs w:val="24"/>
        </w:rPr>
      </w:pPr>
      <w:r>
        <w:rPr>
          <w:rFonts w:hint="eastAsia" w:ascii="宋体" w:hAnsi="宋体"/>
          <w:b/>
          <w:sz w:val="24"/>
          <w:szCs w:val="24"/>
        </w:rPr>
        <w:t>（项目负责人&lt;兼公路检测负责人&gt;、公路机电检测负责人、房建检测负责人最低要求）</w:t>
      </w:r>
    </w:p>
    <w:p>
      <w:pPr>
        <w:jc w:val="center"/>
        <w:rPr>
          <w:rFonts w:ascii="宋体" w:hAnsi="宋体"/>
          <w:b/>
          <w:sz w:val="24"/>
          <w:szCs w:val="24"/>
        </w:rPr>
      </w:pPr>
    </w:p>
    <w:tbl>
      <w:tblPr>
        <w:tblStyle w:val="7"/>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55" w:type="dxa"/>
            <w:vAlign w:val="center"/>
          </w:tcPr>
          <w:p>
            <w:pPr>
              <w:jc w:val="center"/>
              <w:rPr>
                <w:rFonts w:ascii="宋体" w:hAnsi="宋体"/>
                <w:szCs w:val="21"/>
              </w:rPr>
            </w:pPr>
            <w:r>
              <w:rPr>
                <w:rFonts w:hint="eastAsia" w:ascii="宋体" w:hAnsi="宋体"/>
                <w:szCs w:val="21"/>
              </w:rPr>
              <w:t>人员</w:t>
            </w:r>
          </w:p>
        </w:tc>
        <w:tc>
          <w:tcPr>
            <w:tcW w:w="737"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555" w:type="dxa"/>
            <w:vAlign w:val="center"/>
          </w:tcPr>
          <w:p>
            <w:pPr>
              <w:jc w:val="center"/>
              <w:rPr>
                <w:rFonts w:ascii="宋体" w:hAnsi="宋体"/>
                <w:szCs w:val="21"/>
              </w:rPr>
            </w:pPr>
            <w:r>
              <w:rPr>
                <w:rFonts w:hint="eastAsia" w:ascii="宋体" w:hAnsi="宋体"/>
                <w:szCs w:val="21"/>
              </w:rPr>
              <w:t>项目负责人（兼公路检测负责人）</w:t>
            </w:r>
          </w:p>
        </w:tc>
        <w:tc>
          <w:tcPr>
            <w:tcW w:w="737" w:type="dxa"/>
            <w:vAlign w:val="center"/>
          </w:tcPr>
          <w:p>
            <w:pPr>
              <w:jc w:val="center"/>
              <w:rPr>
                <w:rFonts w:ascii="宋体" w:hAnsi="宋体"/>
                <w:szCs w:val="21"/>
              </w:rPr>
            </w:pPr>
            <w:r>
              <w:rPr>
                <w:rFonts w:hint="eastAsia" w:ascii="宋体" w:hAnsi="宋体"/>
                <w:szCs w:val="21"/>
              </w:rPr>
              <w:t>1</w:t>
            </w:r>
          </w:p>
        </w:tc>
        <w:tc>
          <w:tcPr>
            <w:tcW w:w="6379" w:type="dxa"/>
            <w:vAlign w:val="center"/>
          </w:tcPr>
          <w:p>
            <w:pPr>
              <w:jc w:val="left"/>
              <w:rPr>
                <w:rFonts w:ascii="宋体" w:hAnsi="宋体"/>
                <w:szCs w:val="21"/>
              </w:rPr>
            </w:pPr>
            <w:r>
              <w:rPr>
                <w:rFonts w:hint="eastAsia" w:ascii="宋体" w:hAnsi="宋体"/>
                <w:szCs w:val="21"/>
              </w:rPr>
              <w:t>高级工程师；具有交通运输主管部门颁发的试验检测工程师资格证书或试验检测师资格证书；且在“全国公路水运工程质量试验检测管理信息系统（https://www.ttiis.cn）进行了登记。</w:t>
            </w:r>
          </w:p>
          <w:p>
            <w:pPr>
              <w:jc w:val="left"/>
              <w:rPr>
                <w:rFonts w:ascii="宋体" w:hAnsi="宋体"/>
                <w:szCs w:val="21"/>
              </w:rPr>
            </w:pPr>
            <w:r>
              <w:rPr>
                <w:rFonts w:hint="eastAsia" w:ascii="宋体" w:hAnsi="宋体"/>
                <w:szCs w:val="21"/>
              </w:rPr>
              <w:t>近5年（2018年</w:t>
            </w:r>
            <w:r>
              <w:rPr>
                <w:rFonts w:ascii="宋体" w:hAnsi="宋体"/>
                <w:szCs w:val="21"/>
              </w:rPr>
              <w:t>9月1日</w:t>
            </w:r>
            <w:r>
              <w:rPr>
                <w:rFonts w:hint="eastAsia" w:ascii="宋体" w:hAnsi="宋体"/>
                <w:szCs w:val="21"/>
              </w:rPr>
              <w:t>至投标截止时间，以合同签订时间为准）至少担任过1项高速公路（新建或改扩建或养护）检测项目的项目负责人。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2" w:hRule="atLeast"/>
          <w:jc w:val="center"/>
        </w:trPr>
        <w:tc>
          <w:tcPr>
            <w:tcW w:w="1555" w:type="dxa"/>
            <w:vAlign w:val="center"/>
          </w:tcPr>
          <w:p>
            <w:pPr>
              <w:jc w:val="center"/>
              <w:rPr>
                <w:rFonts w:ascii="宋体" w:hAnsi="宋体"/>
                <w:szCs w:val="21"/>
              </w:rPr>
            </w:pPr>
            <w:r>
              <w:rPr>
                <w:rFonts w:hint="eastAsia" w:ascii="宋体" w:hAnsi="宋体"/>
                <w:szCs w:val="21"/>
              </w:rPr>
              <w:t>公路机电检测负责人</w:t>
            </w:r>
          </w:p>
        </w:tc>
        <w:tc>
          <w:tcPr>
            <w:tcW w:w="737" w:type="dxa"/>
            <w:vAlign w:val="center"/>
          </w:tcPr>
          <w:p>
            <w:pPr>
              <w:jc w:val="center"/>
              <w:rPr>
                <w:rFonts w:ascii="宋体" w:hAnsi="宋体"/>
                <w:szCs w:val="21"/>
              </w:rPr>
            </w:pPr>
            <w:r>
              <w:rPr>
                <w:rFonts w:hint="eastAsia" w:ascii="宋体" w:hAnsi="宋体"/>
                <w:szCs w:val="21"/>
              </w:rPr>
              <w:t>1</w:t>
            </w:r>
          </w:p>
        </w:tc>
        <w:tc>
          <w:tcPr>
            <w:tcW w:w="6379" w:type="dxa"/>
            <w:vAlign w:val="center"/>
          </w:tcPr>
          <w:p>
            <w:pPr>
              <w:jc w:val="left"/>
              <w:rPr>
                <w:rFonts w:ascii="宋体" w:hAnsi="宋体"/>
                <w:szCs w:val="21"/>
              </w:rPr>
            </w:pPr>
            <w:r>
              <w:rPr>
                <w:rFonts w:hint="eastAsia" w:ascii="宋体" w:hAnsi="宋体"/>
                <w:szCs w:val="21"/>
              </w:rPr>
              <w:t>工程师；具有交通运输部颁发的机电工程专业或交通工程专项试验检测工程师证书，且在投标单位进行注册。</w:t>
            </w:r>
          </w:p>
          <w:p>
            <w:pPr>
              <w:jc w:val="left"/>
              <w:rPr>
                <w:rFonts w:ascii="宋体" w:hAnsi="宋体"/>
                <w:szCs w:val="21"/>
              </w:rPr>
            </w:pPr>
            <w:r>
              <w:rPr>
                <w:rFonts w:hint="eastAsia" w:ascii="宋体" w:hAnsi="宋体"/>
                <w:szCs w:val="21"/>
              </w:rPr>
              <w:t>近5年（2018年</w:t>
            </w:r>
            <w:r>
              <w:rPr>
                <w:rFonts w:ascii="宋体" w:hAnsi="宋体"/>
                <w:szCs w:val="21"/>
              </w:rPr>
              <w:t>9月1日</w:t>
            </w:r>
            <w:r>
              <w:rPr>
                <w:rFonts w:hint="eastAsia" w:ascii="宋体" w:hAnsi="宋体"/>
                <w:szCs w:val="21"/>
              </w:rPr>
              <w:t>至投标截止时间，以合同签订时间为准）至少担任过1项高速公路（新建或改扩建或养护）机电检测项目的项目负责人。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7" w:hRule="atLeast"/>
          <w:jc w:val="center"/>
        </w:trPr>
        <w:tc>
          <w:tcPr>
            <w:tcW w:w="1555" w:type="dxa"/>
            <w:vAlign w:val="center"/>
          </w:tcPr>
          <w:p>
            <w:pPr>
              <w:jc w:val="center"/>
              <w:rPr>
                <w:rFonts w:ascii="宋体" w:hAnsi="宋体"/>
                <w:szCs w:val="21"/>
              </w:rPr>
            </w:pPr>
            <w:r>
              <w:rPr>
                <w:rFonts w:hint="eastAsia" w:ascii="宋体" w:hAnsi="宋体"/>
                <w:szCs w:val="21"/>
              </w:rPr>
              <w:t>房建检测负责人</w:t>
            </w:r>
          </w:p>
        </w:tc>
        <w:tc>
          <w:tcPr>
            <w:tcW w:w="737" w:type="dxa"/>
            <w:vAlign w:val="center"/>
          </w:tcPr>
          <w:p>
            <w:pPr>
              <w:jc w:val="center"/>
              <w:rPr>
                <w:rFonts w:ascii="宋体" w:hAnsi="宋体"/>
                <w:szCs w:val="21"/>
              </w:rPr>
            </w:pPr>
            <w:r>
              <w:rPr>
                <w:rFonts w:hint="eastAsia" w:ascii="宋体" w:hAnsi="宋体"/>
                <w:szCs w:val="21"/>
              </w:rPr>
              <w:t>1</w:t>
            </w:r>
          </w:p>
        </w:tc>
        <w:tc>
          <w:tcPr>
            <w:tcW w:w="6379" w:type="dxa"/>
            <w:vAlign w:val="center"/>
          </w:tcPr>
          <w:p>
            <w:pPr>
              <w:jc w:val="left"/>
              <w:rPr>
                <w:rFonts w:ascii="宋体" w:hAnsi="宋体"/>
                <w:szCs w:val="21"/>
              </w:rPr>
            </w:pPr>
            <w:r>
              <w:rPr>
                <w:rFonts w:hint="eastAsia" w:ascii="宋体" w:hAnsi="宋体"/>
                <w:szCs w:val="21"/>
              </w:rPr>
              <w:t>工程师；近5年（2018年</w:t>
            </w:r>
            <w:r>
              <w:rPr>
                <w:rFonts w:ascii="宋体" w:hAnsi="宋体"/>
                <w:szCs w:val="21"/>
              </w:rPr>
              <w:t>9月1日</w:t>
            </w:r>
            <w:r>
              <w:rPr>
                <w:rFonts w:hint="eastAsia" w:ascii="宋体" w:hAnsi="宋体"/>
                <w:szCs w:val="21"/>
              </w:rPr>
              <w:t>至投标截止时间，以合同签订时间为准）至少担任过1项房建工程质量检测项目的项目负责人或技术负责人。</w:t>
            </w:r>
          </w:p>
        </w:tc>
      </w:tr>
    </w:tbl>
    <w:p>
      <w:pPr>
        <w:rPr>
          <w:rFonts w:ascii="宋体" w:hAnsi="宋体"/>
          <w:sz w:val="24"/>
          <w:szCs w:val="24"/>
        </w:rPr>
      </w:pPr>
    </w:p>
    <w:p>
      <w:pPr>
        <w:pStyle w:val="5"/>
        <w:snapToGrid w:val="0"/>
        <w:spacing w:before="156" w:beforeLines="50" w:after="156" w:afterLines="50" w:line="240" w:lineRule="auto"/>
        <w:rPr>
          <w:rFonts w:ascii="宋体" w:hAnsi="宋体"/>
          <w:sz w:val="24"/>
          <w:szCs w:val="24"/>
        </w:rPr>
      </w:pPr>
      <w:r>
        <w:rPr>
          <w:rFonts w:ascii="黑体" w:eastAsia="黑体"/>
          <w:spacing w:val="-8"/>
          <w:sz w:val="24"/>
          <w:szCs w:val="24"/>
        </w:rPr>
        <w:br w:type="page"/>
      </w:r>
      <w:bookmarkStart w:id="3" w:name="_Toc146615588"/>
      <w:r>
        <w:rPr>
          <w:rFonts w:hint="eastAsia" w:ascii="宋体" w:hAnsi="宋体"/>
          <w:sz w:val="24"/>
          <w:szCs w:val="24"/>
        </w:rPr>
        <w:t>附件</w:t>
      </w:r>
      <w:r>
        <w:rPr>
          <w:rFonts w:ascii="宋体" w:hAnsi="宋体"/>
          <w:sz w:val="24"/>
          <w:szCs w:val="24"/>
        </w:rPr>
        <w:t>2</w:t>
      </w:r>
      <w:r>
        <w:rPr>
          <w:rFonts w:hint="eastAsia" w:ascii="宋体" w:hAnsi="宋体"/>
          <w:sz w:val="24"/>
          <w:szCs w:val="24"/>
        </w:rPr>
        <w:t>：评标办法</w:t>
      </w:r>
      <w:bookmarkEnd w:id="3"/>
    </w:p>
    <w:p>
      <w:pPr>
        <w:pStyle w:val="5"/>
        <w:snapToGrid w:val="0"/>
        <w:spacing w:before="120" w:after="120" w:line="240" w:lineRule="auto"/>
        <w:rPr>
          <w:sz w:val="24"/>
          <w:szCs w:val="24"/>
        </w:rPr>
      </w:pPr>
      <w:bookmarkStart w:id="4" w:name="_Toc65857110"/>
      <w:bookmarkStart w:id="5" w:name="_Toc66337244"/>
      <w:bookmarkStart w:id="6" w:name="_Toc146615589"/>
      <w:bookmarkStart w:id="7" w:name="_Toc65820978"/>
      <w:bookmarkStart w:id="8" w:name="_Toc66984522"/>
      <w:r>
        <w:rPr>
          <w:rFonts w:hint="eastAsia"/>
          <w:sz w:val="24"/>
          <w:szCs w:val="24"/>
        </w:rPr>
        <w:t>评标办法前附表</w:t>
      </w:r>
      <w:bookmarkEnd w:id="4"/>
      <w:bookmarkEnd w:id="5"/>
      <w:bookmarkEnd w:id="6"/>
      <w:bookmarkEnd w:id="7"/>
      <w:bookmarkEnd w:id="8"/>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41"/>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2"/>
            <w:vAlign w:val="center"/>
          </w:tcPr>
          <w:p>
            <w:pPr>
              <w:jc w:val="center"/>
              <w:rPr>
                <w:rFonts w:ascii="宋体" w:hAnsi="宋体"/>
              </w:rPr>
            </w:pPr>
            <w:r>
              <w:rPr>
                <w:rFonts w:hint="eastAsia" w:ascii="宋体" w:hAnsi="宋体"/>
              </w:rPr>
              <w:t>条款号</w:t>
            </w:r>
          </w:p>
        </w:tc>
        <w:tc>
          <w:tcPr>
            <w:tcW w:w="7648" w:type="dxa"/>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hint="eastAsia" w:ascii="宋体" w:hAnsi="宋体"/>
              </w:rPr>
              <w:t>1</w:t>
            </w:r>
          </w:p>
        </w:tc>
        <w:tc>
          <w:tcPr>
            <w:tcW w:w="1134" w:type="dxa"/>
            <w:vAlign w:val="center"/>
          </w:tcPr>
          <w:p>
            <w:pPr>
              <w:jc w:val="center"/>
              <w:rPr>
                <w:rFonts w:ascii="宋体" w:hAnsi="宋体"/>
              </w:rPr>
            </w:pPr>
            <w:r>
              <w:rPr>
                <w:rFonts w:hint="eastAsia" w:ascii="宋体" w:hAnsi="宋体"/>
              </w:rPr>
              <w:t>评标方法</w:t>
            </w:r>
          </w:p>
        </w:tc>
        <w:tc>
          <w:tcPr>
            <w:tcW w:w="7648" w:type="dxa"/>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但投标报价低于其成本的除外。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34" w:type="dxa"/>
            <w:vAlign w:val="center"/>
          </w:tcPr>
          <w:p>
            <w:pPr>
              <w:jc w:val="center"/>
              <w:rPr>
                <w:rFonts w:ascii="宋体" w:hAnsi="宋体"/>
              </w:rPr>
            </w:pPr>
            <w:r>
              <w:rPr>
                <w:rFonts w:hint="eastAsia" w:ascii="宋体" w:hAnsi="宋体"/>
              </w:rPr>
              <w:t>形式评审与响应性评审标准</w:t>
            </w:r>
          </w:p>
        </w:tc>
        <w:tc>
          <w:tcPr>
            <w:tcW w:w="7648" w:type="dxa"/>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a．投标函按招标文件规定填报了招标人名称、项目名称、补遗书编号（如有）、项目负责人（兼公路检测负责人）、公路机电检测负责人、房建检测负责人相关信息、质量要求、安全目标、服务期限等内容；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）投标文件上法定代表人或其委托代理人的签字、投标人的单位盖章齐全，符合招标文件规定。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b.若投标保证金采电汇或转账形式提交，投标人应在递交投标文件截止时间之前，将投标保证金由投标人的基本账户转入招标人指定账户；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c.若投标保证金采用保函形式提交，开具的保函满足招标文件要求。</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d.若投标保证金采用保证保险形式提交，开具的保证保险满足招标文件要求。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授权委托书符合招标文件规定。投标人法定代表人亲自签署投标文件的，提供了法定代表人身份证明，法定代表人身份证明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）投标人以联合体形式投标时，联合体满足招标文件投标人须知1.4.2款的要求。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）同一投标人未提交两个以上不同的投标文件。</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b.投标人未增加委托人的责任范围，或减少投标人义务；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a．投标函按招标文件规定填报了招标人名称、项目名称、补遗书编号（如有）、投标价（包括大写金额和小写金额）；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b．已标价报价清单说明（如有）文字与招标文件规定一致，未进行实质性修改和删减；</w:t>
            </w:r>
          </w:p>
          <w:p>
            <w:pPr>
              <w:tabs>
                <w:tab w:val="left" w:pos="3060"/>
              </w:tabs>
              <w:spacing w:line="320" w:lineRule="exact"/>
              <w:ind w:firstLine="420" w:firstLineChars="200"/>
              <w:rPr>
                <w:rFonts w:ascii="宋体" w:hAnsi="宋体"/>
                <w:szCs w:val="21"/>
              </w:rPr>
            </w:pPr>
            <w:r>
              <w:rPr>
                <w:rFonts w:hint="eastAsia" w:ascii="宋体" w:hAnsi="宋体"/>
                <w:szCs w:val="21"/>
              </w:rPr>
              <w:t>c．投标文件组成齐全完整，内容均按规定填写。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（2）投标文件上法定代表人或其委托代理人的签字、投标人的单位章盖章齐全，符合招标文件规定。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）投标报价未超过招标文件设定的最高投标限价（各分项投标报价均未超过招标文件设定的最高投标限价）。</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）投标报价中报价的大写金额能够确定具体数值。</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）同一投标人未提交两个以上不同的投标报价。</w:t>
            </w:r>
          </w:p>
          <w:p>
            <w:pPr>
              <w:tabs>
                <w:tab w:val="left" w:pos="3060"/>
              </w:tabs>
              <w:spacing w:line="320" w:lineRule="exact"/>
              <w:ind w:firstLine="105" w:firstLineChars="50"/>
              <w:rPr>
                <w:rFonts w:ascii="宋体" w:hAnsi="宋体"/>
                <w:b/>
                <w:szCs w:val="21"/>
              </w:rPr>
            </w:pPr>
            <w:r>
              <w:rPr>
                <w:rFonts w:hint="eastAsia" w:ascii="宋体" w:hAnsi="宋体"/>
                <w:szCs w:val="21"/>
              </w:rPr>
              <w:t>（6）</w:t>
            </w:r>
            <w:r>
              <w:rPr>
                <w:rFonts w:hint="eastAsia" w:ascii="宋体" w:hAnsi="宋体"/>
                <w:bCs/>
                <w:szCs w:val="21"/>
              </w:rPr>
              <w:t>投标人填写完毕的试验检测固化清单未对招标人提供的试验检测清单电子文件中的数据、格式和运算定义进行修改；试验检测固化清单中的投标报价和投标函大写金额报价一致。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2.1.2</w:t>
            </w:r>
          </w:p>
        </w:tc>
        <w:tc>
          <w:tcPr>
            <w:tcW w:w="1134" w:type="dxa"/>
            <w:vAlign w:val="center"/>
          </w:tcPr>
          <w:p>
            <w:pPr>
              <w:tabs>
                <w:tab w:val="left" w:pos="3060"/>
              </w:tabs>
              <w:spacing w:line="320" w:lineRule="exact"/>
              <w:rPr>
                <w:rFonts w:ascii="宋体" w:hAnsi="宋体"/>
                <w:szCs w:val="21"/>
              </w:rPr>
            </w:pPr>
            <w:r>
              <w:rPr>
                <w:rFonts w:hint="eastAsia" w:ascii="宋体" w:hAnsi="宋体"/>
                <w:szCs w:val="21"/>
              </w:rPr>
              <w:t>资格评审标准</w:t>
            </w:r>
          </w:p>
        </w:tc>
        <w:tc>
          <w:tcPr>
            <w:tcW w:w="7648" w:type="dxa"/>
          </w:tcPr>
          <w:p>
            <w:pPr>
              <w:tabs>
                <w:tab w:val="left" w:pos="3060"/>
              </w:tabs>
              <w:spacing w:line="320" w:lineRule="exact"/>
              <w:ind w:firstLine="105" w:firstLineChars="50"/>
              <w:rPr>
                <w:rFonts w:ascii="宋体" w:hAnsi="宋体"/>
                <w:szCs w:val="21"/>
              </w:rPr>
            </w:pPr>
            <w:r>
              <w:rPr>
                <w:rFonts w:hint="eastAsia" w:ascii="宋体" w:hAnsi="宋体"/>
                <w:szCs w:val="21"/>
              </w:rPr>
              <w:t>（1）投标人具备有效的营业执照、组织机构代码证（三证合一的除外）、资质证书和基本账户开户许可证（或基本存款账户信息）；</w:t>
            </w:r>
          </w:p>
          <w:p>
            <w:pPr>
              <w:tabs>
                <w:tab w:val="left" w:pos="3060"/>
              </w:tabs>
              <w:spacing w:line="320" w:lineRule="exact"/>
              <w:ind w:firstLine="105" w:firstLineChars="50"/>
              <w:rPr>
                <w:rFonts w:ascii="宋体" w:hAnsi="宋体"/>
                <w:szCs w:val="21"/>
              </w:rPr>
            </w:pPr>
            <w:r>
              <w:rPr>
                <w:rFonts w:hint="eastAsia" w:ascii="宋体" w:hAnsi="宋体"/>
                <w:szCs w:val="21"/>
              </w:rPr>
              <w:t>（2）投标人的资质等级符合招标文件规定；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（4）投标人的信誉符合招标文件规定；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 xml:space="preserve">（5）投标人的项目负责人（兼公路检测负责人）、公路机电检测负责人、房建检测负责人资格符合招标文件规定； </w:t>
            </w:r>
          </w:p>
          <w:p>
            <w:pPr>
              <w:tabs>
                <w:tab w:val="left" w:pos="3060"/>
              </w:tabs>
              <w:spacing w:line="320" w:lineRule="exact"/>
              <w:ind w:firstLine="105" w:firstLineChars="50"/>
              <w:rPr>
                <w:rFonts w:ascii="宋体" w:hAnsi="宋体"/>
                <w:szCs w:val="21"/>
              </w:rPr>
            </w:pPr>
            <w:r>
              <w:rPr>
                <w:rFonts w:hint="eastAsia" w:ascii="宋体" w:hAnsi="宋体"/>
                <w:szCs w:val="21"/>
              </w:rPr>
              <w:t>（6）投标人不存在第二章“投标人须知”第1.4.3项、第1.4.4项规定的任何一种情形。</w:t>
            </w:r>
          </w:p>
          <w:p>
            <w:pPr>
              <w:tabs>
                <w:tab w:val="left" w:pos="3060"/>
              </w:tabs>
              <w:spacing w:line="320" w:lineRule="exact"/>
              <w:ind w:firstLine="105" w:firstLineChars="50"/>
              <w:rPr>
                <w:rFonts w:ascii="宋体" w:hAnsi="宋体"/>
                <w:szCs w:val="21"/>
              </w:rPr>
            </w:pPr>
            <w:r>
              <w:rPr>
                <w:rFonts w:hint="eastAsia" w:ascii="宋体" w:hAnsi="宋体"/>
                <w:szCs w:val="21"/>
              </w:rPr>
              <w:t>（7）投标人符合第二章“投标人须知”第1.4.</w:t>
            </w:r>
            <w:r>
              <w:rPr>
                <w:rFonts w:ascii="宋体" w:hAnsi="宋体"/>
                <w:szCs w:val="21"/>
              </w:rPr>
              <w:t>5</w:t>
            </w:r>
            <w:r>
              <w:rPr>
                <w:rFonts w:hint="eastAsia" w:ascii="宋体" w:hAnsi="宋体"/>
                <w:szCs w:val="21"/>
              </w:rPr>
              <w:t>项规定。</w:t>
            </w:r>
          </w:p>
          <w:p>
            <w:pPr>
              <w:tabs>
                <w:tab w:val="left" w:pos="3060"/>
              </w:tabs>
              <w:spacing w:line="320" w:lineRule="exact"/>
              <w:ind w:firstLine="105" w:firstLineChars="50"/>
              <w:rPr>
                <w:rFonts w:ascii="宋体" w:hAnsi="宋体"/>
                <w:szCs w:val="21"/>
              </w:rPr>
            </w:pPr>
            <w:r>
              <w:rPr>
                <w:rFonts w:hint="eastAsia" w:ascii="宋体" w:hAnsi="宋体"/>
                <w:szCs w:val="21"/>
              </w:rPr>
              <w:t>（8）以联合体形式参与投标的，联合体各方均未再以自己名义单独或参加其他联合体的投标。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2.2.1</w:t>
            </w:r>
          </w:p>
        </w:tc>
        <w:tc>
          <w:tcPr>
            <w:tcW w:w="1134" w:type="dxa"/>
            <w:vAlign w:val="center"/>
          </w:tcPr>
          <w:p>
            <w:pPr>
              <w:jc w:val="center"/>
              <w:rPr>
                <w:rFonts w:ascii="宋体" w:hAnsi="宋体"/>
              </w:rPr>
            </w:pPr>
            <w:r>
              <w:rPr>
                <w:rFonts w:hint="eastAsia" w:ascii="宋体" w:hAnsi="宋体"/>
              </w:rPr>
              <w:t>分值构成（总分100分）</w:t>
            </w:r>
          </w:p>
        </w:tc>
        <w:tc>
          <w:tcPr>
            <w:tcW w:w="7648" w:type="dxa"/>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w:t>
            </w:r>
            <w:r>
              <w:rPr>
                <w:rFonts w:ascii="宋体" w:hAnsi="宋体"/>
                <w:b/>
                <w:u w:val="single"/>
              </w:rPr>
              <w:t>5</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2.2.2</w:t>
            </w:r>
          </w:p>
        </w:tc>
        <w:tc>
          <w:tcPr>
            <w:tcW w:w="1134" w:type="dxa"/>
            <w:vAlign w:val="center"/>
          </w:tcPr>
          <w:p>
            <w:pPr>
              <w:jc w:val="center"/>
              <w:rPr>
                <w:rFonts w:ascii="宋体" w:hAnsi="宋体"/>
              </w:rPr>
            </w:pPr>
            <w:r>
              <w:rPr>
                <w:rFonts w:hint="eastAsia" w:ascii="宋体" w:hAnsi="宋体"/>
              </w:rPr>
              <w:t>评标基准价计算方法</w:t>
            </w:r>
          </w:p>
        </w:tc>
        <w:tc>
          <w:tcPr>
            <w:tcW w:w="7648" w:type="dxa"/>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rPr>
            </w:pPr>
            <w:r>
              <w:rPr>
                <w:rFonts w:ascii="宋体" w:hAnsi="宋体"/>
              </w:rPr>
              <w:t>2.2.3</w:t>
            </w:r>
          </w:p>
        </w:tc>
        <w:tc>
          <w:tcPr>
            <w:tcW w:w="1134" w:type="dxa"/>
            <w:vAlign w:val="center"/>
          </w:tcPr>
          <w:p>
            <w:pPr>
              <w:jc w:val="center"/>
              <w:rPr>
                <w:rFonts w:ascii="宋体" w:hAnsi="宋体"/>
              </w:rPr>
            </w:pPr>
            <w:r>
              <w:rPr>
                <w:rFonts w:hint="eastAsia" w:ascii="宋体" w:hAnsi="宋体"/>
              </w:rPr>
              <w:t>评标价的偏差率计算公式</w:t>
            </w:r>
          </w:p>
        </w:tc>
        <w:tc>
          <w:tcPr>
            <w:tcW w:w="7648" w:type="dxa"/>
            <w:vAlign w:val="center"/>
          </w:tcPr>
          <w:p>
            <w:pPr>
              <w:jc w:val="left"/>
              <w:rPr>
                <w:rFonts w:ascii="宋体" w:hAnsi="宋体"/>
              </w:rPr>
            </w:pPr>
            <w:r>
              <w:rPr>
                <w:rFonts w:hint="eastAsia" w:ascii="宋体" w:hAnsi="宋体"/>
              </w:rPr>
              <w:t>偏差率=100%×（投标人评标价-评标基准价）／评标基准价</w:t>
            </w:r>
          </w:p>
          <w:p>
            <w:pPr>
              <w:jc w:val="left"/>
              <w:rPr>
                <w:rFonts w:ascii="宋体" w:hAnsi="宋体"/>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hAnsi="宋体"/>
                <w:szCs w:val="21"/>
              </w:rPr>
            </w:pPr>
            <w:r>
              <w:rPr>
                <w:rFonts w:hint="eastAsia" w:ascii="宋体" w:hAnsi="宋体"/>
              </w:rPr>
              <w:t>3</w:t>
            </w:r>
            <w:r>
              <w:rPr>
                <w:rFonts w:ascii="宋体" w:hAnsi="宋体"/>
              </w:rPr>
              <w:t>.6.1</w:t>
            </w:r>
          </w:p>
        </w:tc>
        <w:tc>
          <w:tcPr>
            <w:tcW w:w="1134"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（1）投标人名称和资质与</w:t>
            </w:r>
            <w:r>
              <w:rPr>
                <w:rFonts w:hint="eastAsia" w:ascii="宋体" w:hAnsi="宋体"/>
                <w:szCs w:val="21"/>
              </w:rPr>
              <w:t>“全国公路水运工程质量试验检测管理信息系统（https://www.ttiis.cn）”的复核结果一致</w:t>
            </w:r>
            <w:r>
              <w:rPr>
                <w:rFonts w:hint="eastAsia" w:ascii="宋体" w:hAnsi="宋体"/>
                <w:bCs/>
                <w:szCs w:val="21"/>
              </w:rPr>
              <w:t>（建筑工程质量检测机构资质不适用）</w:t>
            </w:r>
            <w:r>
              <w:rPr>
                <w:rFonts w:hint="eastAsia" w:ascii="宋体" w:hAnsi="宋体"/>
                <w:szCs w:val="21"/>
              </w:rPr>
              <w:t>；</w:t>
            </w:r>
          </w:p>
          <w:p>
            <w:pPr>
              <w:autoSpaceDE w:val="0"/>
              <w:autoSpaceDN w:val="0"/>
              <w:spacing w:line="273" w:lineRule="auto"/>
              <w:ind w:firstLine="420" w:firstLineChars="200"/>
              <w:rPr>
                <w:rFonts w:ascii="宋体" w:hAnsi="宋体"/>
              </w:rPr>
            </w:pPr>
            <w:r>
              <w:rPr>
                <w:rFonts w:hint="eastAsia" w:ascii="宋体" w:hAnsi="宋体"/>
              </w:rPr>
              <w:t>（</w:t>
            </w:r>
            <w:r>
              <w:rPr>
                <w:rFonts w:ascii="宋体" w:hAnsi="宋体"/>
              </w:rPr>
              <w:t>2</w:t>
            </w:r>
            <w:r>
              <w:rPr>
                <w:rFonts w:hint="eastAsia" w:ascii="宋体" w:hAnsi="宋体"/>
              </w:rPr>
              <w:t>）投标人信用情况网页截图内容与在“国家企业信用信息公示系统”中严重违法失信企业名单（不含分公司，事业单位投标人不适用）或在“信用中国”网站中失信被执行人名单、经营异常名录、重大税收违法失信主体名单、政府采购严重违法失信名单（均不含分公司）的复核结果一致。</w:t>
            </w:r>
          </w:p>
          <w:p>
            <w:pPr>
              <w:autoSpaceDE w:val="0"/>
              <w:autoSpaceDN w:val="0"/>
              <w:spacing w:line="273" w:lineRule="auto"/>
              <w:ind w:firstLine="420" w:firstLineChars="200"/>
              <w:rPr>
                <w:rFonts w:ascii="宋体" w:hAnsi="宋体"/>
              </w:rPr>
            </w:pPr>
            <w:r>
              <w:rPr>
                <w:rFonts w:hint="eastAsia" w:ascii="宋体" w:hAnsi="宋体"/>
              </w:rPr>
              <w:t>上述（1）、（2）项如投标人未提供相关网页截图或所附截图与复核结果不一致，评标委员会应否决其投标。</w:t>
            </w:r>
          </w:p>
          <w:p>
            <w:pPr>
              <w:autoSpaceDE w:val="0"/>
              <w:autoSpaceDN w:val="0"/>
              <w:spacing w:line="273" w:lineRule="auto"/>
              <w:ind w:firstLine="420" w:firstLineChars="200"/>
              <w:rPr>
                <w:rFonts w:ascii="宋体" w:hAnsi="宋体"/>
              </w:rPr>
            </w:pPr>
            <w:r>
              <w:rPr>
                <w:rFonts w:hint="eastAsia" w:ascii="宋体" w:hAnsi="宋体"/>
              </w:rPr>
              <w:t>（3）投标人所附项目负责人试验检测师（或试验检测工程师）的网页截图复印件与</w:t>
            </w:r>
            <w:r>
              <w:rPr>
                <w:rFonts w:hint="eastAsia" w:ascii="宋体" w:hAnsi="宋体"/>
                <w:szCs w:val="21"/>
              </w:rPr>
              <w:t>“全国公路水运工程质量试验检测管理信息系统（https://www.ttiis.cn）”</w:t>
            </w:r>
            <w:r>
              <w:rPr>
                <w:rFonts w:hint="eastAsia" w:ascii="宋体" w:hAnsi="宋体"/>
              </w:rPr>
              <w:t>核查的结果一致。</w:t>
            </w:r>
          </w:p>
          <w:p>
            <w:pPr>
              <w:autoSpaceDE w:val="0"/>
              <w:autoSpaceDN w:val="0"/>
              <w:spacing w:line="273" w:lineRule="auto"/>
              <w:ind w:firstLine="420" w:firstLineChars="200"/>
              <w:rPr>
                <w:rFonts w:ascii="宋体" w:hAnsi="宋体"/>
              </w:rPr>
            </w:pPr>
            <w:r>
              <w:rPr>
                <w:rFonts w:hint="eastAsia" w:ascii="宋体" w:hAnsi="宋体"/>
              </w:rPr>
              <w:t>如投标人未提供相关网页截图或相关网页截图中的信息无法证实投标人满足招标文件规定的资格审查条件或网页截图与的核查结果不一致，则相关内容不予认定。</w:t>
            </w:r>
          </w:p>
          <w:p>
            <w:pPr>
              <w:autoSpaceDE w:val="0"/>
              <w:autoSpaceDN w:val="0"/>
              <w:spacing w:line="273" w:lineRule="auto"/>
              <w:ind w:firstLine="420" w:firstLineChars="200"/>
              <w:rPr>
                <w:rFonts w:ascii="宋体" w:hAnsi="宋体"/>
              </w:rPr>
            </w:pPr>
            <w:r>
              <w:rPr>
                <w:rFonts w:hint="eastAsia" w:ascii="宋体" w:hAnsi="宋体"/>
              </w:rPr>
              <w:t>（4）评标委员会在评标时按照投标人提供的验证方式对电子保函或电子保证保险进行验证。如投标人未提供电子保函或电子保证保险的验证方式，或根据提供的验证方式无法核实的，评标委员会应否决其投标。</w:t>
            </w:r>
          </w:p>
          <w:p>
            <w:pPr>
              <w:autoSpaceDE w:val="0"/>
              <w:autoSpaceDN w:val="0"/>
              <w:spacing w:line="273" w:lineRule="auto"/>
              <w:ind w:firstLine="420" w:firstLineChars="200"/>
              <w:rPr>
                <w:rFonts w:ascii="宋体" w:hAnsi="宋体"/>
              </w:rPr>
            </w:pPr>
            <w:r>
              <w:rPr>
                <w:rFonts w:hint="eastAsia" w:ascii="宋体" w:hAnsi="宋体"/>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606" w:type="dxa"/>
            <w:gridSpan w:val="3"/>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本项目的施工单位、施工监理单位，或与本项目施工单位或施工监理单位的单位负责人为同一人、或存在参股或者管理关系的不同单位参加本项目的投标的，不再被推荐为中标候选人。投标人中标后不得再承接本项目的施工标段、施工监理标段的试验检测任务。</w:t>
            </w:r>
          </w:p>
        </w:tc>
      </w:tr>
    </w:tbl>
    <w:p>
      <w:pPr>
        <w:jc w:val="right"/>
      </w:pPr>
      <w:r>
        <w:br w:type="page"/>
      </w:r>
      <w:r>
        <w:rPr>
          <w:rFonts w:hint="eastAsia"/>
        </w:rPr>
        <w:t>续上表</w:t>
      </w:r>
    </w:p>
    <w:tbl>
      <w:tblPr>
        <w:tblStyle w:val="7"/>
        <w:tblW w:w="948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850"/>
        <w:gridCol w:w="4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jc w:val="center"/>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685"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820"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jc w:val="center"/>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w:t>
            </w:r>
          </w:p>
        </w:tc>
        <w:tc>
          <w:tcPr>
            <w:tcW w:w="850" w:type="dxa"/>
            <w:tcBorders>
              <w:left w:val="single" w:color="auto" w:sz="4" w:space="0"/>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分值</w:t>
            </w:r>
          </w:p>
        </w:tc>
        <w:tc>
          <w:tcPr>
            <w:tcW w:w="4820"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tc>
        <w:tc>
          <w:tcPr>
            <w:tcW w:w="83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45分</w:t>
            </w: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工作大纲</w:t>
            </w:r>
          </w:p>
        </w:tc>
        <w:tc>
          <w:tcPr>
            <w:tcW w:w="850" w:type="dxa"/>
            <w:tcBorders>
              <w:left w:val="single" w:color="auto" w:sz="4" w:space="0"/>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10分</w:t>
            </w:r>
          </w:p>
        </w:tc>
        <w:tc>
          <w:tcPr>
            <w:tcW w:w="4820" w:type="dxa"/>
            <w:tcBorders>
              <w:top w:val="single" w:color="auto" w:sz="4" w:space="0"/>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6</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合理，可行6-8分；</w:t>
            </w:r>
          </w:p>
          <w:p>
            <w:pPr>
              <w:pStyle w:val="6"/>
              <w:snapToGrid w:val="0"/>
              <w:jc w:val="left"/>
              <w:rPr>
                <w:rFonts w:hAnsi="宋体"/>
                <w:kern w:val="2"/>
                <w:sz w:val="21"/>
                <w:szCs w:val="21"/>
              </w:rPr>
            </w:pPr>
            <w:r>
              <w:rPr>
                <w:rFonts w:hint="eastAsia" w:hAnsi="宋体" w:cs="宋体"/>
                <w:sz w:val="21"/>
                <w:szCs w:val="21"/>
              </w:rPr>
              <w:t>科学先进，措施完善，可操作性强8-10分。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6"/>
              <w:snapToGrid w:val="0"/>
              <w:jc w:val="center"/>
              <w:rPr>
                <w:rFonts w:hAnsi="宋体"/>
                <w:kern w:val="2"/>
                <w:sz w:val="21"/>
                <w:szCs w:val="21"/>
              </w:rPr>
            </w:pPr>
            <w:r>
              <w:rPr>
                <w:rFonts w:hint="eastAsia" w:hAnsi="宋体" w:cs="宋体"/>
                <w:sz w:val="21"/>
                <w:szCs w:val="21"/>
              </w:rPr>
              <w:t>对本项目工作范围和任务理解</w:t>
            </w:r>
          </w:p>
        </w:tc>
        <w:tc>
          <w:tcPr>
            <w:tcW w:w="850" w:type="dxa"/>
            <w:tcBorders>
              <w:left w:val="single" w:color="auto" w:sz="4" w:space="0"/>
              <w:right w:val="single" w:color="auto" w:sz="4" w:space="0"/>
            </w:tcBorders>
            <w:vAlign w:val="center"/>
          </w:tcPr>
          <w:p>
            <w:pPr>
              <w:pStyle w:val="6"/>
              <w:snapToGrid w:val="0"/>
              <w:ind w:left="33" w:leftChars="-48" w:right="-31" w:rightChars="-15" w:hanging="134" w:hangingChars="64"/>
              <w:jc w:val="center"/>
              <w:rPr>
                <w:rFonts w:hAnsi="宋体"/>
                <w:kern w:val="2"/>
                <w:sz w:val="21"/>
                <w:szCs w:val="21"/>
              </w:rPr>
            </w:pPr>
            <w:r>
              <w:rPr>
                <w:rFonts w:hint="eastAsia" w:hAnsi="宋体" w:cs="宋体"/>
                <w:sz w:val="21"/>
                <w:szCs w:val="21"/>
              </w:rPr>
              <w:t>10分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理解基本准确，思路欠合理6分；</w:t>
            </w:r>
          </w:p>
          <w:p>
            <w:pPr>
              <w:snapToGrid w:val="0"/>
              <w:rPr>
                <w:rFonts w:ascii="宋体" w:hAnsi="宋体" w:cs="宋体"/>
                <w:szCs w:val="21"/>
              </w:rPr>
            </w:pPr>
            <w:r>
              <w:rPr>
                <w:rFonts w:hint="eastAsia" w:ascii="宋体" w:hAnsi="宋体" w:cs="宋体"/>
                <w:szCs w:val="21"/>
              </w:rPr>
              <w:t>理解基本准确，思路一般6-8分；</w:t>
            </w:r>
          </w:p>
          <w:p>
            <w:pPr>
              <w:pStyle w:val="6"/>
              <w:snapToGrid w:val="0"/>
              <w:jc w:val="left"/>
              <w:rPr>
                <w:rFonts w:hAnsi="宋体"/>
                <w:kern w:val="2"/>
                <w:sz w:val="21"/>
                <w:szCs w:val="21"/>
              </w:rPr>
            </w:pPr>
            <w:r>
              <w:rPr>
                <w:rFonts w:hint="eastAsia" w:hAnsi="宋体" w:cs="宋体"/>
                <w:sz w:val="21"/>
                <w:szCs w:val="21"/>
              </w:rPr>
              <w:t>理解准确，思路清晰，全面、合理，符合项目要</w:t>
            </w:r>
            <w:r>
              <w:rPr>
                <w:rFonts w:hint="eastAsia" w:cs="宋体"/>
                <w:sz w:val="21"/>
                <w:szCs w:val="21"/>
              </w:rPr>
              <w:t>求</w:t>
            </w:r>
            <w:r>
              <w:rPr>
                <w:rFonts w:hint="eastAsia" w:hAnsi="宋体" w:cs="宋体"/>
                <w:sz w:val="21"/>
                <w:szCs w:val="21"/>
              </w:rPr>
              <w:t>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6"/>
              <w:snapToGrid w:val="0"/>
              <w:jc w:val="center"/>
              <w:rPr>
                <w:rFonts w:hAnsi="宋体"/>
                <w:kern w:val="2"/>
                <w:sz w:val="21"/>
                <w:szCs w:val="21"/>
              </w:rPr>
            </w:pPr>
            <w:r>
              <w:rPr>
                <w:rFonts w:hint="eastAsia" w:hAnsi="宋体" w:cs="宋体"/>
                <w:sz w:val="21"/>
                <w:szCs w:val="21"/>
              </w:rPr>
              <w:t>质量、进度、安全保证措施</w:t>
            </w:r>
          </w:p>
        </w:tc>
        <w:tc>
          <w:tcPr>
            <w:tcW w:w="850" w:type="dxa"/>
            <w:tcBorders>
              <w:left w:val="single" w:color="auto" w:sz="4" w:space="0"/>
              <w:right w:val="single" w:color="auto" w:sz="4" w:space="0"/>
            </w:tcBorders>
            <w:vAlign w:val="center"/>
          </w:tcPr>
          <w:p>
            <w:pPr>
              <w:pStyle w:val="6"/>
              <w:snapToGrid w:val="0"/>
              <w:ind w:left="33" w:leftChars="-48" w:right="-31" w:rightChars="-15" w:hanging="134" w:hangingChars="64"/>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pStyle w:val="6"/>
              <w:snapToGrid w:val="0"/>
              <w:jc w:val="left"/>
              <w:rPr>
                <w:rFonts w:hAnsi="宋体"/>
                <w:kern w:val="2"/>
                <w:sz w:val="21"/>
                <w:szCs w:val="21"/>
              </w:rPr>
            </w:pPr>
            <w:r>
              <w:rPr>
                <w:rFonts w:hint="eastAsia" w:hAnsi="宋体" w:cs="宋体"/>
                <w:sz w:val="21"/>
                <w:szCs w:val="21"/>
              </w:rPr>
              <w:t>科学先进、严密</w:t>
            </w:r>
            <w:r>
              <w:rPr>
                <w:rFonts w:hAnsi="宋体" w:cs="宋体"/>
                <w:sz w:val="21"/>
                <w:szCs w:val="21"/>
              </w:rPr>
              <w:t>4-5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质量检测工作流程</w:t>
            </w:r>
          </w:p>
        </w:tc>
        <w:tc>
          <w:tcPr>
            <w:tcW w:w="850" w:type="dxa"/>
            <w:tcBorders>
              <w:left w:val="single" w:color="auto" w:sz="4" w:space="0"/>
              <w:right w:val="single" w:color="auto" w:sz="4" w:space="0"/>
            </w:tcBorders>
            <w:vAlign w:val="center"/>
          </w:tcPr>
          <w:p>
            <w:pPr>
              <w:pStyle w:val="6"/>
              <w:snapToGrid w:val="0"/>
              <w:ind w:left="33" w:leftChars="-48" w:right="-31" w:rightChars="-15" w:hanging="134" w:hangingChars="64"/>
              <w:jc w:val="center"/>
              <w:rPr>
                <w:rFonts w:hAnsi="宋体" w:cs="宋体"/>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pStyle w:val="6"/>
              <w:snapToGrid w:val="0"/>
              <w:jc w:val="left"/>
              <w:rPr>
                <w:rFonts w:hAnsi="宋体"/>
                <w:kern w:val="2"/>
                <w:sz w:val="21"/>
                <w:szCs w:val="21"/>
              </w:rPr>
            </w:pPr>
            <w:r>
              <w:rPr>
                <w:rFonts w:hint="eastAsia" w:hAnsi="宋体" w:cs="宋体"/>
                <w:sz w:val="21"/>
                <w:szCs w:val="21"/>
              </w:rPr>
              <w:t>科学先进，措施完善，可操作性强</w:t>
            </w:r>
            <w:r>
              <w:rPr>
                <w:rFonts w:hAnsi="宋体" w:cs="宋体"/>
                <w:sz w:val="21"/>
                <w:szCs w:val="21"/>
              </w:rPr>
              <w:t>4-5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6"/>
              <w:snapToGrid w:val="0"/>
              <w:jc w:val="center"/>
              <w:rPr>
                <w:rFonts w:hAnsi="宋体"/>
                <w:kern w:val="2"/>
                <w:sz w:val="21"/>
                <w:szCs w:val="21"/>
              </w:rPr>
            </w:pPr>
            <w:r>
              <w:rPr>
                <w:rFonts w:hint="eastAsia" w:hAnsi="宋体" w:cs="宋体"/>
                <w:sz w:val="21"/>
                <w:szCs w:val="21"/>
              </w:rPr>
              <w:t>对发现出的问题类型提出切实可行的处理建议和维修方案</w:t>
            </w:r>
          </w:p>
        </w:tc>
        <w:tc>
          <w:tcPr>
            <w:tcW w:w="850" w:type="dxa"/>
            <w:tcBorders>
              <w:left w:val="single" w:color="auto" w:sz="4" w:space="0"/>
              <w:right w:val="single" w:color="auto" w:sz="4" w:space="0"/>
            </w:tcBorders>
            <w:vAlign w:val="center"/>
          </w:tcPr>
          <w:p>
            <w:pPr>
              <w:pStyle w:val="6"/>
              <w:snapToGrid w:val="0"/>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pStyle w:val="6"/>
              <w:snapToGrid w:val="0"/>
              <w:jc w:val="left"/>
              <w:rPr>
                <w:rFonts w:hAnsi="宋体"/>
                <w:kern w:val="2"/>
                <w:sz w:val="21"/>
                <w:szCs w:val="21"/>
              </w:rPr>
            </w:pPr>
            <w:r>
              <w:rPr>
                <w:rFonts w:hint="eastAsia" w:hAnsi="宋体" w:cs="宋体"/>
                <w:sz w:val="21"/>
                <w:szCs w:val="21"/>
              </w:rPr>
              <w:t>科学先进，措施完善，可操作性强</w:t>
            </w:r>
            <w:r>
              <w:rPr>
                <w:rFonts w:hAnsi="宋体" w:cs="宋体"/>
                <w:sz w:val="21"/>
                <w:szCs w:val="21"/>
              </w:rPr>
              <w:t>4-5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6"/>
              <w:snapToGrid w:val="0"/>
              <w:jc w:val="center"/>
              <w:rPr>
                <w:rFonts w:hAnsi="宋体"/>
                <w:kern w:val="2"/>
                <w:sz w:val="21"/>
                <w:szCs w:val="21"/>
              </w:rPr>
            </w:pPr>
            <w:r>
              <w:rPr>
                <w:rFonts w:hint="eastAsia" w:hAnsi="宋体" w:cs="宋体"/>
                <w:sz w:val="21"/>
                <w:szCs w:val="21"/>
              </w:rPr>
              <w:t>承诺出具的检测（监测）成果及后续服务</w:t>
            </w:r>
          </w:p>
        </w:tc>
        <w:tc>
          <w:tcPr>
            <w:tcW w:w="850" w:type="dxa"/>
            <w:tcBorders>
              <w:left w:val="single" w:color="auto" w:sz="4" w:space="0"/>
              <w:right w:val="single" w:color="auto" w:sz="4" w:space="0"/>
            </w:tcBorders>
            <w:vAlign w:val="center"/>
          </w:tcPr>
          <w:p>
            <w:pPr>
              <w:pStyle w:val="6"/>
              <w:snapToGrid w:val="0"/>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检测成果符合国家规范要求，后续服务基本完善</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检测成果符合国家规范要求，后续服务较完善</w:t>
            </w:r>
            <w:r>
              <w:rPr>
                <w:rFonts w:ascii="宋体" w:hAnsi="宋体" w:cs="宋体"/>
                <w:szCs w:val="21"/>
              </w:rPr>
              <w:t>3-4</w:t>
            </w:r>
            <w:r>
              <w:rPr>
                <w:rFonts w:hint="eastAsia" w:ascii="宋体" w:hAnsi="宋体" w:cs="宋体"/>
                <w:szCs w:val="21"/>
              </w:rPr>
              <w:t>分；</w:t>
            </w:r>
          </w:p>
          <w:p>
            <w:pPr>
              <w:pStyle w:val="6"/>
              <w:snapToGrid w:val="0"/>
              <w:jc w:val="left"/>
              <w:rPr>
                <w:rFonts w:hAnsi="宋体"/>
                <w:kern w:val="2"/>
                <w:sz w:val="21"/>
                <w:szCs w:val="21"/>
              </w:rPr>
            </w:pPr>
            <w:r>
              <w:rPr>
                <w:rFonts w:hint="eastAsia" w:hAnsi="宋体" w:cs="宋体"/>
                <w:sz w:val="21"/>
                <w:szCs w:val="21"/>
              </w:rPr>
              <w:t>检测成果符合国家规范要求，后续服务完善</w:t>
            </w:r>
            <w:r>
              <w:rPr>
                <w:rFonts w:hAnsi="宋体" w:cs="宋体"/>
                <w:sz w:val="21"/>
                <w:szCs w:val="21"/>
              </w:rPr>
              <w:t>4</w:t>
            </w:r>
            <w:r>
              <w:rPr>
                <w:rFonts w:hint="eastAsia" w:hAnsi="宋体" w:cs="宋体"/>
                <w:sz w:val="21"/>
                <w:szCs w:val="21"/>
              </w:rPr>
              <w:t>-</w:t>
            </w:r>
            <w:r>
              <w:rPr>
                <w:rFonts w:hAnsi="宋体" w:cs="宋体"/>
                <w:sz w:val="21"/>
                <w:szCs w:val="21"/>
              </w:rPr>
              <w:t>5</w:t>
            </w:r>
            <w:r>
              <w:rPr>
                <w:rFonts w:hint="eastAsia" w:hAnsi="宋体" w:cs="宋体"/>
                <w:sz w:val="21"/>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pStyle w:val="6"/>
              <w:snapToGrid w:val="0"/>
              <w:jc w:val="center"/>
              <w:rPr>
                <w:rFonts w:hAnsi="宋体"/>
                <w:kern w:val="2"/>
                <w:sz w:val="21"/>
                <w:szCs w:val="21"/>
              </w:rPr>
            </w:pPr>
            <w:r>
              <w:rPr>
                <w:rFonts w:hint="eastAsia" w:hAnsi="宋体" w:cs="宋体"/>
                <w:sz w:val="21"/>
                <w:szCs w:val="21"/>
              </w:rPr>
              <w:t>重点、难点分析</w:t>
            </w:r>
          </w:p>
        </w:tc>
        <w:tc>
          <w:tcPr>
            <w:tcW w:w="850" w:type="dxa"/>
            <w:tcBorders>
              <w:left w:val="single" w:color="auto" w:sz="4" w:space="0"/>
              <w:right w:val="single" w:color="auto" w:sz="4" w:space="0"/>
            </w:tcBorders>
            <w:vAlign w:val="center"/>
          </w:tcPr>
          <w:p>
            <w:pPr>
              <w:pStyle w:val="6"/>
              <w:snapToGrid w:val="0"/>
              <w:jc w:val="center"/>
              <w:rPr>
                <w:rFonts w:hAnsi="宋体"/>
                <w:kern w:val="2"/>
                <w:sz w:val="21"/>
                <w:szCs w:val="21"/>
              </w:rPr>
            </w:pPr>
            <w:r>
              <w:rPr>
                <w:rFonts w:hAnsi="宋体" w:cs="宋体"/>
                <w:sz w:val="21"/>
                <w:szCs w:val="21"/>
              </w:rPr>
              <w:t>5</w:t>
            </w:r>
            <w:r>
              <w:rPr>
                <w:rFonts w:hint="eastAsia" w:hAnsi="宋体" w:cs="宋体"/>
                <w:sz w:val="21"/>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欠合理3分；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w:t>
            </w:r>
            <w:r>
              <w:rPr>
                <w:rFonts w:hint="eastAsia" w:ascii="宋体" w:hAnsi="宋体" w:cs="宋体"/>
                <w:szCs w:val="21"/>
              </w:rPr>
              <w:t>-</w:t>
            </w:r>
            <w:r>
              <w:rPr>
                <w:rFonts w:ascii="宋体" w:hAnsi="宋体" w:cs="宋体"/>
                <w:szCs w:val="21"/>
              </w:rPr>
              <w:t>4</w:t>
            </w:r>
            <w:r>
              <w:rPr>
                <w:rFonts w:hint="eastAsia" w:ascii="宋体" w:hAnsi="宋体" w:cs="宋体"/>
                <w:szCs w:val="21"/>
              </w:rPr>
              <w:t>分；</w:t>
            </w:r>
          </w:p>
          <w:p>
            <w:pPr>
              <w:snapToGrid w:val="0"/>
              <w:jc w:val="left"/>
              <w:rPr>
                <w:rFonts w:ascii="宋体" w:hAnsi="宋体"/>
                <w:szCs w:val="21"/>
              </w:rPr>
            </w:pPr>
            <w:r>
              <w:rPr>
                <w:rFonts w:hint="eastAsia" w:ascii="宋体" w:hAnsi="宋体" w:cs="宋体"/>
                <w:szCs w:val="21"/>
              </w:rPr>
              <w:t>科学先进，措施完善，可操作性强</w:t>
            </w:r>
            <w:r>
              <w:rPr>
                <w:rFonts w:ascii="宋体" w:hAnsi="宋体" w:cs="宋体"/>
                <w:szCs w:val="21"/>
              </w:rPr>
              <w:t>4</w:t>
            </w:r>
            <w:r>
              <w:rPr>
                <w:rFonts w:hint="eastAsia" w:ascii="宋体" w:hAnsi="宋体" w:cs="宋体"/>
                <w:szCs w:val="21"/>
              </w:rPr>
              <w:t>-</w:t>
            </w:r>
            <w:r>
              <w:rPr>
                <w:rFonts w:ascii="宋体" w:hAnsi="宋体" w:cs="宋体"/>
                <w:szCs w:val="21"/>
              </w:rPr>
              <w:t>5</w:t>
            </w:r>
            <w:r>
              <w:rPr>
                <w:rFonts w:hint="eastAsia" w:ascii="宋体" w:hAnsi="宋体" w:cs="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5" w:hRule="atLeast"/>
          <w:jc w:val="center"/>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7152" w:type="dxa"/>
            <w:gridSpan w:val="3"/>
            <w:vAlign w:val="center"/>
          </w:tcPr>
          <w:p>
            <w:pPr>
              <w:pStyle w:val="6"/>
              <w:spacing w:line="300" w:lineRule="exact"/>
              <w:rPr>
                <w:rFonts w:hAnsi="宋体"/>
                <w:kern w:val="2"/>
                <w:sz w:val="21"/>
                <w:szCs w:val="21"/>
              </w:rPr>
            </w:pPr>
            <w:r>
              <w:rPr>
                <w:rFonts w:hint="eastAsia" w:hAnsi="宋体"/>
                <w:szCs w:val="21"/>
              </w:rPr>
              <w:t>项</w:t>
            </w:r>
            <w:r>
              <w:rPr>
                <w:rFonts w:hint="eastAsia" w:hAnsi="宋体"/>
                <w:kern w:val="2"/>
                <w:sz w:val="21"/>
                <w:szCs w:val="21"/>
              </w:rPr>
              <w:t>目负责人满足资格审查条件（项目负责人最低要求）得12分。</w:t>
            </w:r>
          </w:p>
          <w:p>
            <w:pPr>
              <w:pStyle w:val="6"/>
              <w:spacing w:line="300" w:lineRule="exact"/>
              <w:rPr>
                <w:rFonts w:hAnsi="宋体"/>
                <w:kern w:val="2"/>
                <w:sz w:val="21"/>
                <w:szCs w:val="21"/>
              </w:rPr>
            </w:pPr>
            <w:r>
              <w:rPr>
                <w:rFonts w:hint="eastAsia" w:hAnsi="宋体"/>
                <w:kern w:val="2"/>
                <w:sz w:val="21"/>
                <w:szCs w:val="21"/>
              </w:rPr>
              <w:t>投标人每增加一项满足资格审查条件（项目负责人</w:t>
            </w:r>
            <w:r>
              <w:rPr>
                <w:rFonts w:hint="eastAsia" w:hAnsi="宋体"/>
                <w:szCs w:val="21"/>
              </w:rPr>
              <w:t>（兼公路检测负责人）</w:t>
            </w:r>
            <w:r>
              <w:rPr>
                <w:rFonts w:hint="eastAsia" w:hAnsi="宋体"/>
                <w:kern w:val="2"/>
                <w:sz w:val="21"/>
                <w:szCs w:val="21"/>
              </w:rPr>
              <w:t>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87" w:hRule="exact"/>
          <w:jc w:val="center"/>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837"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7152" w:type="dxa"/>
            <w:gridSpan w:val="3"/>
            <w:vAlign w:val="center"/>
          </w:tcPr>
          <w:p>
            <w:pPr>
              <w:autoSpaceDE w:val="0"/>
              <w:autoSpaceDN w:val="0"/>
              <w:snapToGrid w:val="0"/>
              <w:ind w:left="11" w:right="150"/>
              <w:rPr>
                <w:rFonts w:ascii="宋体" w:hAnsi="宋体"/>
                <w:szCs w:val="21"/>
              </w:rPr>
            </w:pPr>
            <w:r>
              <w:rPr>
                <w:rFonts w:hint="eastAsia" w:ascii="宋体" w:hAnsi="宋体"/>
                <w:szCs w:val="21"/>
              </w:rPr>
              <w:t>评标价得分计算公式：</w:t>
            </w:r>
          </w:p>
          <w:p>
            <w:pPr>
              <w:autoSpaceDE w:val="0"/>
              <w:autoSpaceDN w:val="0"/>
              <w:snapToGrid w:val="0"/>
              <w:ind w:left="11" w:right="150"/>
              <w:rPr>
                <w:rFonts w:ascii="宋体" w:hAnsi="宋体"/>
                <w:szCs w:val="21"/>
              </w:rPr>
            </w:pPr>
            <w:r>
              <w:rPr>
                <w:rFonts w:hint="eastAsia" w:ascii="宋体" w:hAnsi="宋体"/>
                <w:szCs w:val="21"/>
              </w:rPr>
              <w:t>（1）如果投标人的评标价＞评标基准价，则评标价得分=F-偏差率×100×E1；</w:t>
            </w:r>
          </w:p>
          <w:p>
            <w:pPr>
              <w:autoSpaceDE w:val="0"/>
              <w:autoSpaceDN w:val="0"/>
              <w:snapToGrid w:val="0"/>
              <w:ind w:left="11" w:right="150"/>
              <w:rPr>
                <w:rFonts w:ascii="宋体" w:hAnsi="宋体"/>
                <w:szCs w:val="21"/>
              </w:rPr>
            </w:pPr>
            <w:r>
              <w:rPr>
                <w:rFonts w:hint="eastAsia" w:ascii="宋体" w:hAnsi="宋体"/>
                <w:szCs w:val="21"/>
              </w:rPr>
              <w:t>（2）如果投标人的评标价≤评标基准价，则评标价得分=F+偏差率×100×E2。</w:t>
            </w:r>
          </w:p>
          <w:p>
            <w:pPr>
              <w:autoSpaceDE w:val="0"/>
              <w:autoSpaceDN w:val="0"/>
              <w:snapToGrid w:val="0"/>
              <w:ind w:left="11" w:right="150"/>
              <w:rPr>
                <w:rFonts w:ascii="宋体" w:hAnsi="宋体"/>
                <w:szCs w:val="21"/>
              </w:rPr>
            </w:pPr>
            <w:r>
              <w:rPr>
                <w:rFonts w:hint="eastAsia" w:ascii="宋体" w:hAnsi="宋体"/>
                <w:szCs w:val="21"/>
              </w:rPr>
              <w:t>其中，F=10；E1=0.2；E2=0.1；评标价最低得分为0分。</w:t>
            </w:r>
          </w:p>
          <w:p>
            <w:pPr>
              <w:autoSpaceDE w:val="0"/>
              <w:autoSpaceDN w:val="0"/>
              <w:snapToGrid w:val="0"/>
              <w:ind w:left="11" w:right="150"/>
              <w:rPr>
                <w:rFonts w:hint="eastAsia" w:hAnsi="宋体"/>
                <w:szCs w:val="21"/>
              </w:rPr>
            </w:pPr>
            <w:r>
              <w:rPr>
                <w:rFonts w:hint="eastAsia" w:ascii="宋体" w:hAnsi="宋体"/>
                <w:szCs w:val="21"/>
              </w:rPr>
              <w:t>评标价得分保留2位小数。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jc w:val="center"/>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7152" w:type="dxa"/>
            <w:gridSpan w:val="3"/>
            <w:vAlign w:val="center"/>
          </w:tcPr>
          <w:p>
            <w:pPr>
              <w:snapToGrid w:val="0"/>
              <w:rPr>
                <w:rFonts w:ascii="宋体" w:hAnsi="宋体"/>
                <w:szCs w:val="21"/>
              </w:rPr>
            </w:pPr>
            <w:r>
              <w:rPr>
                <w:rFonts w:hint="eastAsia" w:ascii="宋体" w:hAnsi="宋体"/>
                <w:szCs w:val="21"/>
              </w:rPr>
              <w:t>投标人满足资格审查条件（业绩最低要求）得</w:t>
            </w:r>
            <w:r>
              <w:rPr>
                <w:rFonts w:ascii="宋体" w:hAnsi="宋体"/>
                <w:szCs w:val="21"/>
              </w:rPr>
              <w:t>15</w:t>
            </w:r>
            <w:r>
              <w:rPr>
                <w:rFonts w:hint="eastAsia" w:ascii="宋体" w:hAnsi="宋体"/>
                <w:szCs w:val="21"/>
              </w:rPr>
              <w:t>分。</w:t>
            </w:r>
          </w:p>
          <w:p>
            <w:pPr>
              <w:autoSpaceDE w:val="0"/>
              <w:autoSpaceDN w:val="0"/>
              <w:snapToGrid w:val="0"/>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每增加一项满足资格审查条件（业绩最低要求）的公路检测业绩加</w:t>
            </w:r>
            <w:r>
              <w:rPr>
                <w:rFonts w:ascii="宋体" w:hAnsi="宋体"/>
                <w:szCs w:val="21"/>
              </w:rPr>
              <w:t>5</w:t>
            </w:r>
            <w:r>
              <w:rPr>
                <w:rFonts w:hint="eastAsia" w:ascii="宋体" w:hAnsi="宋体"/>
                <w:szCs w:val="21"/>
              </w:rPr>
              <w:t>分，最多加5分。</w:t>
            </w:r>
          </w:p>
          <w:p>
            <w:pPr>
              <w:autoSpaceDE w:val="0"/>
              <w:autoSpaceDN w:val="0"/>
              <w:snapToGrid w:val="0"/>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每增加一项满足资格审查条件（业绩最低要求）的机电检测业绩加</w:t>
            </w:r>
            <w:r>
              <w:rPr>
                <w:rFonts w:ascii="宋体" w:hAnsi="宋体"/>
                <w:szCs w:val="21"/>
              </w:rPr>
              <w:t>3</w:t>
            </w:r>
            <w:r>
              <w:rPr>
                <w:rFonts w:hint="eastAsia" w:ascii="宋体" w:hAnsi="宋体"/>
                <w:szCs w:val="21"/>
              </w:rPr>
              <w:t>分，最多加</w:t>
            </w:r>
            <w:r>
              <w:rPr>
                <w:rFonts w:ascii="宋体" w:hAnsi="宋体"/>
                <w:szCs w:val="21"/>
              </w:rPr>
              <w:t>3</w:t>
            </w:r>
            <w:r>
              <w:rPr>
                <w:rFonts w:hint="eastAsia" w:ascii="宋体" w:hAnsi="宋体"/>
                <w:szCs w:val="21"/>
              </w:rPr>
              <w:t>分。</w:t>
            </w:r>
          </w:p>
          <w:p>
            <w:pPr>
              <w:autoSpaceDE w:val="0"/>
              <w:autoSpaceDN w:val="0"/>
              <w:snapToGrid w:val="0"/>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每增加一项满足资格审查条件（业绩最低要求）的房建检测业绩加</w:t>
            </w:r>
            <w:r>
              <w:rPr>
                <w:rFonts w:ascii="宋体" w:hAnsi="宋体"/>
                <w:szCs w:val="21"/>
              </w:rPr>
              <w:t>2</w:t>
            </w:r>
            <w:r>
              <w:rPr>
                <w:rFonts w:hint="eastAsia" w:ascii="宋体" w:hAnsi="宋体"/>
                <w:szCs w:val="21"/>
              </w:rPr>
              <w:t>分，最多加</w:t>
            </w:r>
            <w:r>
              <w:rPr>
                <w:rFonts w:ascii="宋体" w:hAnsi="宋体"/>
                <w:szCs w:val="21"/>
              </w:rPr>
              <w:t>2</w:t>
            </w:r>
            <w:r>
              <w:rPr>
                <w:rFonts w:hint="eastAsia" w:ascii="宋体" w:hAnsi="宋体"/>
                <w:szCs w:val="21"/>
              </w:rPr>
              <w:t>分。</w:t>
            </w:r>
          </w:p>
        </w:tc>
      </w:tr>
      <w:bookmarkEnd w:id="1"/>
      <w:bookmarkEnd w:id="2"/>
    </w:tbl>
    <w:p>
      <w:pPr>
        <w:ind w:left="800" w:hanging="800" w:hangingChars="400"/>
        <w:rPr>
          <w:rFonts w:ascii="宋体" w:hAnsi="宋体" w:cs="Courier New"/>
          <w:szCs w:val="21"/>
        </w:rPr>
      </w:pPr>
      <w:bookmarkStart w:id="9" w:name="_Hlk71130285"/>
      <w:r>
        <w:rPr>
          <w:rFonts w:hint="eastAsia" w:ascii="宋体" w:hAnsi="宋体"/>
          <w:kern w:val="0"/>
          <w:sz w:val="20"/>
          <w:szCs w:val="20"/>
        </w:rPr>
        <w:t>注：</w:t>
      </w:r>
      <w:r>
        <w:rPr>
          <w:rFonts w:hint="eastAsia" w:ascii="宋体" w:hAnsi="宋体" w:cs="Courier New"/>
          <w:szCs w:val="21"/>
        </w:rPr>
        <w:t>1、评审因素得分应以评标委员会各成员的打分平均值确定</w:t>
      </w:r>
      <w:r>
        <w:rPr>
          <w:rFonts w:ascii="宋体" w:hAnsi="宋体" w:cs="Courier New"/>
          <w:szCs w:val="21"/>
        </w:rPr>
        <w:t>，</w:t>
      </w:r>
      <w:r>
        <w:rPr>
          <w:rFonts w:hint="eastAsia" w:ascii="宋体" w:hAnsi="宋体" w:cs="Courier New"/>
          <w:szCs w:val="21"/>
        </w:rPr>
        <w:t>保留2位小数。</w:t>
      </w:r>
    </w:p>
    <w:p>
      <w:pPr>
        <w:ind w:left="840" w:leftChars="200" w:hanging="420" w:hangingChars="200"/>
        <w:rPr>
          <w:rFonts w:ascii="宋体" w:hAnsi="宋体" w:cs="Courier New"/>
          <w:szCs w:val="21"/>
        </w:rPr>
      </w:pPr>
      <w:r>
        <w:rPr>
          <w:rFonts w:hint="eastAsia" w:ascii="宋体" w:hAnsi="宋体" w:cs="Courier New"/>
          <w:szCs w:val="21"/>
        </w:rPr>
        <w:t>2、技术建议书各评分因素的细分项缺项，则该项得0分。</w:t>
      </w:r>
    </w:p>
    <w:p>
      <w:pPr>
        <w:ind w:firstLine="420" w:firstLineChars="200"/>
        <w:rPr>
          <w:rFonts w:hint="eastAsia" w:ascii="宋体" w:hAnsi="宋体" w:cs="Courier New"/>
          <w:szCs w:val="21"/>
        </w:rPr>
      </w:pPr>
      <w:r>
        <w:rPr>
          <w:rFonts w:hint="eastAsia" w:ascii="宋体" w:hAnsi="宋体" w:cs="Courier New"/>
          <w:szCs w:val="21"/>
        </w:rPr>
        <w:t>3、技术建议书评分时保留1位小数，评标价得分计算时保留两位小数。</w:t>
      </w:r>
    </w:p>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5A6100BD"/>
    <w:rsid w:val="7EA4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right="0" w:firstLine="420" w:firstLineChars="200"/>
    </w:pPr>
    <w:rPr>
      <w:color w:val="auto"/>
      <w:sz w:val="21"/>
    </w:rPr>
  </w:style>
  <w:style w:type="paragraph" w:styleId="3">
    <w:name w:val="Body Text Indent"/>
    <w:basedOn w:val="1"/>
    <w:next w:val="4"/>
    <w:qFormat/>
    <w:uiPriority w:val="0"/>
    <w:pPr>
      <w:spacing w:line="500" w:lineRule="exact"/>
      <w:ind w:right="-45" w:firstLine="480"/>
    </w:pPr>
    <w:rPr>
      <w:color w:val="0000FF"/>
      <w:sz w:val="24"/>
    </w:rPr>
  </w:style>
  <w:style w:type="paragraph" w:styleId="4">
    <w:name w:val="toc 4"/>
    <w:basedOn w:val="1"/>
    <w:next w:val="1"/>
    <w:qFormat/>
    <w:uiPriority w:val="0"/>
    <w:pPr>
      <w:jc w:val="left"/>
    </w:pPr>
    <w:rPr>
      <w:rFonts w:ascii="Times New Roman" w:hAnsi="Times New Roman"/>
      <w:kern w:val="0"/>
    </w:rPr>
  </w:style>
  <w:style w:type="paragraph" w:styleId="6">
    <w:name w:val="Plain Text"/>
    <w:basedOn w:val="1"/>
    <w:qFormat/>
    <w:uiPriority w:val="0"/>
    <w:rPr>
      <w:rFonts w:ascii="宋体" w:hAnsi="Courier New"/>
      <w:kern w:val="0"/>
      <w:sz w:val="20"/>
      <w:szCs w:val="20"/>
    </w:rPr>
  </w:style>
  <w:style w:type="character" w:styleId="9">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2023-09-28T06:03:00Z</dcterms:created>
  <dc:creator>Administrator</dc:creator>
  <cp:lastModifiedBy>李娜</cp:lastModifiedBy>
  <dcterms:modified xsi:type="dcterms:W3CDTF">2023-09-28T06:07:41Z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E4A7323EE300438E9A0EA376662AB21F_12</vt:lpwstr>
  </property>
</Properties>
</file>