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outlineLvl w:val="2"/>
        <w:rPr>
          <w:rFonts w:ascii="Calibri" w:hAnsi="Calibri" w:eastAsia="宋体" w:cs="Times New Roman"/>
          <w:b/>
          <w:bCs/>
          <w:sz w:val="32"/>
          <w:szCs w:val="32"/>
          <w14:ligatures w14:val="none"/>
        </w:rPr>
      </w:pPr>
      <w:bookmarkStart w:id="0" w:name="_Toc144559651"/>
      <w:bookmarkStart w:id="1" w:name="OLE_LINK3"/>
      <w:bookmarkStart w:id="2" w:name="OLE_LINK1"/>
      <w:bookmarkStart w:id="11" w:name="_GoBack"/>
      <w:bookmarkEnd w:id="11"/>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1</w:t>
      </w:r>
      <w:r>
        <w:rPr>
          <w:rFonts w:hint="eastAsia" w:ascii="宋体" w:hAnsi="宋体" w:eastAsia="宋体" w:cs="Times New Roman"/>
          <w:b/>
          <w:bCs/>
          <w:sz w:val="24"/>
          <w:szCs w:val="24"/>
          <w14:ligatures w14:val="none"/>
        </w:rPr>
        <w:t>：资格审查条件</w:t>
      </w:r>
      <w:bookmarkEnd w:id="0"/>
    </w:p>
    <w:p>
      <w:pPr>
        <w:jc w:val="center"/>
        <w:rPr>
          <w:rFonts w:ascii="Calibri" w:hAnsi="Calibri" w:eastAsia="宋体" w:cs="Times New Roman"/>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附录1  资格审查条件（资质最低要求）</w:t>
      </w:r>
    </w:p>
    <w:p>
      <w:pPr>
        <w:jc w:val="center"/>
        <w:rPr>
          <w:rFonts w:ascii="宋体" w:hAnsi="宋体" w:eastAsia="宋体" w:cs="Times New Roman"/>
          <w:b/>
          <w:sz w:val="24"/>
          <w:szCs w:val="24"/>
          <w14:ligatures w14:val="none"/>
        </w:rPr>
      </w:pPr>
    </w:p>
    <w:tbl>
      <w:tblPr>
        <w:tblStyle w:val="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具有独立法人资格，具有有效的企业营业执照或事业单位法人证书。</w:t>
            </w:r>
          </w:p>
        </w:tc>
      </w:tr>
    </w:tbl>
    <w:p>
      <w:pPr>
        <w:rPr>
          <w:rFonts w:ascii="宋体" w:hAnsi="宋体" w:eastAsia="宋体" w:cs="Times New Roman"/>
          <w:sz w:val="24"/>
          <w:szCs w:val="24"/>
          <w14:ligatures w14:val="none"/>
        </w:rPr>
      </w:pPr>
    </w:p>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附录2  资格审查条件（业绩最低要求）</w:t>
      </w:r>
    </w:p>
    <w:p>
      <w:pPr>
        <w:jc w:val="center"/>
        <w:rPr>
          <w:rFonts w:ascii="宋体" w:hAnsi="宋体" w:eastAsia="宋体" w:cs="Times New Roman"/>
          <w:b/>
          <w:sz w:val="24"/>
          <w:szCs w:val="24"/>
          <w14:ligatures w14:val="none"/>
        </w:rPr>
      </w:pPr>
    </w:p>
    <w:tbl>
      <w:tblPr>
        <w:tblStyle w:val="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pPr>
              <w:snapToGrid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近5年（2018年9月1日至投标截止时间，以通过成果验收或鉴定时间或登记时间为准）至少完成过1项公路行业机电类或软件研发类科研项目。</w:t>
            </w:r>
          </w:p>
        </w:tc>
      </w:tr>
    </w:tbl>
    <w:p>
      <w:pPr>
        <w:rPr>
          <w:rFonts w:ascii="宋体" w:hAnsi="宋体" w:eastAsia="宋体" w:cs="Times New Roman"/>
          <w:sz w:val="24"/>
          <w:szCs w:val="24"/>
          <w14:ligatures w14:val="none"/>
        </w:rPr>
      </w:pPr>
    </w:p>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附录3  资格审查条件（信誉最低要求）</w:t>
      </w:r>
    </w:p>
    <w:p>
      <w:pPr>
        <w:jc w:val="center"/>
        <w:rPr>
          <w:rFonts w:ascii="宋体" w:hAnsi="宋体" w:eastAsia="宋体" w:cs="Times New Roman"/>
          <w:b/>
          <w:sz w:val="24"/>
          <w:szCs w:val="24"/>
          <w14:ligatures w14:val="none"/>
        </w:rPr>
      </w:pPr>
    </w:p>
    <w:tbl>
      <w:tblPr>
        <w:tblStyle w:val="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kern w:val="0"/>
                <w:szCs w:val="21"/>
                <w14:ligatures w14:val="none"/>
              </w:rPr>
              <w:t>投标人在过去1年中（2022年9月1日至投标截止时间）不曾在高速公路科研项目合同中违约而被驱逐或因投标人自身的原P因而使高速公路科研合同被解除。</w:t>
            </w:r>
          </w:p>
        </w:tc>
      </w:tr>
    </w:tbl>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附录4  资格审查条件（项目负责人最低要求）</w:t>
      </w:r>
    </w:p>
    <w:p>
      <w:pPr>
        <w:jc w:val="center"/>
        <w:rPr>
          <w:rFonts w:ascii="宋体" w:hAnsi="宋体" w:eastAsia="宋体" w:cs="Times New Roman"/>
          <w:b/>
          <w:sz w:val="24"/>
          <w:szCs w:val="24"/>
          <w14:ligatures w14:val="none"/>
        </w:rPr>
      </w:pPr>
    </w:p>
    <w:tbl>
      <w:tblPr>
        <w:tblStyle w:val="2"/>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人员</w:t>
            </w:r>
          </w:p>
        </w:tc>
        <w:tc>
          <w:tcPr>
            <w:tcW w:w="99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数量</w:t>
            </w:r>
          </w:p>
        </w:tc>
        <w:tc>
          <w:tcPr>
            <w:tcW w:w="6379"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项目负责人</w:t>
            </w:r>
          </w:p>
        </w:tc>
        <w:tc>
          <w:tcPr>
            <w:tcW w:w="99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6379" w:type="dxa"/>
            <w:vAlign w:val="center"/>
          </w:tcPr>
          <w:p>
            <w:pPr>
              <w:snapToGrid w:val="0"/>
              <w:spacing w:line="360" w:lineRule="exact"/>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中级职称；</w:t>
            </w:r>
          </w:p>
          <w:p>
            <w:pPr>
              <w:snapToGrid w:val="0"/>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近5年（2018年9月1日至投标截止时间，以通过成果验收或鉴定时间或登记时间为准）至少</w:t>
            </w:r>
            <w:r>
              <w:rPr>
                <w:rFonts w:hint="eastAsia" w:ascii="宋体" w:hAnsi="宋体" w:eastAsia="宋体" w:cs="Times New Roman"/>
                <w:kern w:val="0"/>
                <w:szCs w:val="21"/>
                <w14:ligatures w14:val="none"/>
              </w:rPr>
              <w:t>担任过</w:t>
            </w:r>
            <w:r>
              <w:rPr>
                <w:rFonts w:hint="eastAsia" w:ascii="宋体" w:hAnsi="宋体" w:eastAsia="宋体" w:cs="Times New Roman"/>
                <w:szCs w:val="21"/>
                <w14:ligatures w14:val="none"/>
              </w:rPr>
              <w:t>1项公路行业机电类或软件研发类科研项目</w:t>
            </w:r>
            <w:r>
              <w:rPr>
                <w:rFonts w:hint="eastAsia" w:ascii="宋体" w:hAnsi="宋体" w:eastAsia="宋体" w:cs="Times New Roman"/>
                <w:kern w:val="0"/>
                <w:szCs w:val="21"/>
                <w14:ligatures w14:val="none"/>
              </w:rPr>
              <w:t>的项目负责人。</w:t>
            </w:r>
          </w:p>
        </w:tc>
      </w:tr>
    </w:tbl>
    <w:p>
      <w:pPr>
        <w:rPr>
          <w:rFonts w:ascii="宋体" w:hAnsi="宋体" w:eastAsia="宋体" w:cs="Times New Roman"/>
          <w:sz w:val="24"/>
          <w:szCs w:val="24"/>
          <w14:ligatures w14:val="none"/>
        </w:rPr>
      </w:pPr>
    </w:p>
    <w:p>
      <w:pPr>
        <w:keepNext/>
        <w:keepLines/>
        <w:snapToGrid w:val="0"/>
        <w:spacing w:before="156" w:beforeLines="50" w:after="156" w:afterLines="50"/>
        <w:outlineLvl w:val="2"/>
        <w:rPr>
          <w:rFonts w:ascii="宋体" w:hAnsi="宋体" w:eastAsia="宋体" w:cs="Times New Roman"/>
          <w:b/>
          <w:bCs/>
          <w:sz w:val="24"/>
          <w:szCs w:val="24"/>
          <w14:ligatures w14:val="none"/>
        </w:rPr>
      </w:pPr>
      <w:r>
        <w:rPr>
          <w:rFonts w:ascii="黑体" w:hAnsi="Calibri" w:eastAsia="黑体" w:cs="Times New Roman"/>
          <w:b/>
          <w:bCs/>
          <w:spacing w:val="-8"/>
          <w:sz w:val="24"/>
          <w:szCs w:val="24"/>
          <w14:ligatures w14:val="none"/>
        </w:rPr>
        <w:br w:type="page"/>
      </w:r>
      <w:bookmarkStart w:id="3" w:name="_Toc144559652"/>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2</w:t>
      </w:r>
      <w:r>
        <w:rPr>
          <w:rFonts w:hint="eastAsia" w:ascii="宋体" w:hAnsi="宋体" w:eastAsia="宋体" w:cs="Times New Roman"/>
          <w:b/>
          <w:bCs/>
          <w:sz w:val="24"/>
          <w:szCs w:val="24"/>
          <w14:ligatures w14:val="none"/>
        </w:rPr>
        <w:t>：评标办法</w:t>
      </w:r>
      <w:bookmarkEnd w:id="3"/>
    </w:p>
    <w:p>
      <w:pPr>
        <w:keepNext/>
        <w:keepLines/>
        <w:snapToGrid w:val="0"/>
        <w:spacing w:before="120" w:after="120"/>
        <w:outlineLvl w:val="2"/>
        <w:rPr>
          <w:rFonts w:ascii="Calibri" w:hAnsi="Calibri" w:eastAsia="宋体" w:cs="Times New Roman"/>
          <w:b/>
          <w:bCs/>
          <w:sz w:val="24"/>
          <w:szCs w:val="24"/>
          <w14:ligatures w14:val="none"/>
        </w:rPr>
      </w:pPr>
      <w:bookmarkStart w:id="4" w:name="_Toc138793770"/>
      <w:bookmarkStart w:id="5" w:name="_Toc144559653"/>
      <w:bookmarkStart w:id="6" w:name="_Toc66984522"/>
      <w:bookmarkStart w:id="7" w:name="_Toc65820978"/>
      <w:bookmarkStart w:id="8" w:name="_Toc65857110"/>
      <w:bookmarkStart w:id="9" w:name="_Toc66337244"/>
      <w:r>
        <w:rPr>
          <w:rFonts w:hint="eastAsia" w:ascii="Calibri" w:hAnsi="Calibri" w:eastAsia="宋体" w:cs="Times New Roman"/>
          <w:b/>
          <w:bCs/>
          <w:sz w:val="24"/>
          <w:szCs w:val="24"/>
          <w14:ligatures w14:val="none"/>
        </w:rPr>
        <w:t>评标办法前附表</w:t>
      </w:r>
      <w:bookmarkEnd w:id="4"/>
      <w:bookmarkEnd w:id="5"/>
      <w:bookmarkEnd w:id="6"/>
      <w:bookmarkEnd w:id="7"/>
      <w:bookmarkEnd w:id="8"/>
      <w:bookmarkEnd w:id="9"/>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eastAsia="宋体" w:cs="Times New Roman"/>
                <w14:ligatures w14:val="none"/>
              </w:rPr>
            </w:pPr>
            <w:r>
              <w:rPr>
                <w:rFonts w:hint="eastAsia" w:ascii="宋体" w:hAnsi="宋体" w:eastAsia="宋体" w:cs="Times New Roman"/>
                <w14:ligatures w14:val="none"/>
              </w:rPr>
              <w:t>条款号</w:t>
            </w:r>
          </w:p>
        </w:tc>
        <w:tc>
          <w:tcPr>
            <w:tcW w:w="7648"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1</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评标方法</w:t>
            </w:r>
          </w:p>
        </w:tc>
        <w:tc>
          <w:tcPr>
            <w:tcW w:w="7648" w:type="dxa"/>
            <w:vAlign w:val="center"/>
          </w:tcPr>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（1）评标价低的投标人优先；</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（2）技术建议书得分较高的投标人优先；</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2.1.1</w:t>
            </w:r>
          </w:p>
          <w:p>
            <w:pPr>
              <w:jc w:val="center"/>
              <w:rPr>
                <w:rFonts w:ascii="宋体" w:hAnsi="宋体" w:eastAsia="宋体" w:cs="Times New Roman"/>
                <w14:ligatures w14:val="none"/>
              </w:rPr>
            </w:pPr>
            <w:r>
              <w:rPr>
                <w:rFonts w:ascii="宋体" w:hAnsi="宋体" w:eastAsia="宋体" w:cs="Times New Roman"/>
                <w14:ligatures w14:val="none"/>
              </w:rPr>
              <w:t>2.1.3</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形式评审与响应性评审标准</w:t>
            </w:r>
          </w:p>
        </w:tc>
        <w:tc>
          <w:tcPr>
            <w:tcW w:w="7648" w:type="dxa"/>
          </w:tcPr>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a．投标函按招标文件规定填报了招标人名称、项目名称、补遗书编号（如有）、项目负责人相关信息、服务期限、质量要求等内容；</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tabs>
                <w:tab w:val="left" w:pos="3060"/>
              </w:tabs>
              <w:spacing w:line="32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2</w:t>
            </w:r>
            <w:r>
              <w:rPr>
                <w:rFonts w:hint="eastAsia" w:ascii="宋体" w:hAnsi="宋体" w:eastAsia="宋体" w:cs="Times New Roman"/>
                <w:bCs/>
                <w:szCs w:val="21"/>
                <w14:ligatures w14:val="none"/>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）投标人按照招标文件的规定提供了投标保证金。</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a．投标保证金金额符合招标文件规定的金额，且投标保证金有效期不少于投标有效期；</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c.若投标保证金采用保函形式提交，开具的保函满足招标文件要求。</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d.若投标保证金采用保证保险形式提交，开具的保证保险满足招标文件要求。</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）投标人法定代表人授权委托代理人签署投标文件的，须提交授权委托书。</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）投标人法定代表人亲自签署投标文件的，提供了法定代表人身份证明。</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6</w:t>
            </w:r>
            <w:r>
              <w:rPr>
                <w:rFonts w:hint="eastAsia" w:ascii="宋体" w:hAnsi="宋体" w:eastAsia="宋体" w:cs="Times New Roman"/>
                <w:szCs w:val="21"/>
                <w14:ligatures w14:val="none"/>
              </w:rPr>
              <w:t>）投标人未以联合体形式投标。</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7</w:t>
            </w:r>
            <w:r>
              <w:rPr>
                <w:rFonts w:hint="eastAsia" w:ascii="宋体" w:hAnsi="宋体" w:eastAsia="宋体" w:cs="Times New Roman"/>
                <w:szCs w:val="21"/>
                <w14:ligatures w14:val="none"/>
              </w:rPr>
              <w:t>）</w:t>
            </w:r>
            <w:r>
              <w:rPr>
                <w:rFonts w:ascii="宋体" w:hAnsi="宋体" w:eastAsia="宋体" w:cs="Times New Roman"/>
                <w:szCs w:val="21"/>
                <w14:ligatures w14:val="none"/>
              </w:rPr>
              <w:t>投标人未对本项目提出分包计划</w:t>
            </w:r>
            <w:r>
              <w:rPr>
                <w:rFonts w:hint="eastAsia" w:ascii="宋体" w:hAnsi="宋体" w:eastAsia="宋体" w:cs="Times New Roman"/>
                <w:szCs w:val="21"/>
                <w14:ligatures w14:val="none"/>
              </w:rPr>
              <w:t>。</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）投标人在未提交两个以上不同的投标文件或备选方案。</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）投标文件中未出现有关投标报价的内容。</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）投标文件载明的招标项目完成期限未超过招标文件规定的时限。</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11</w:t>
            </w:r>
            <w:r>
              <w:rPr>
                <w:rFonts w:hint="eastAsia" w:ascii="宋体" w:hAnsi="宋体" w:eastAsia="宋体" w:cs="Times New Roman"/>
                <w:szCs w:val="21"/>
                <w14:ligatures w14:val="none"/>
              </w:rPr>
              <w:t>）投标文件对招标文件的实质性要求和条件作出响应。</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b.投标人未增加委托人的责任范围，或减少投标人义务；</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ind w:firstLine="210" w:firstLineChars="100"/>
              <w:rPr>
                <w:rFonts w:ascii="宋体" w:hAnsi="宋体" w:eastAsia="宋体" w:cs="Times New Roman"/>
                <w:szCs w:val="21"/>
                <w14:ligatures w14:val="none"/>
              </w:rPr>
            </w:pPr>
          </w:p>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（1）投标文件按照招标文件规定的格式、内容填写，字迹清晰可辨，内容齐全完整：</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3</w:t>
            </w:r>
            <w:r>
              <w:rPr>
                <w:rFonts w:hint="eastAsia" w:ascii="宋体" w:hAnsi="宋体" w:eastAsia="宋体" w:cs="Times New Roman"/>
                <w:bCs/>
                <w:szCs w:val="21"/>
                <w14:ligatures w14:val="none"/>
              </w:rPr>
              <w:t>）投标报价中的报价未超过招标文件设定的最高投标限价。</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4</w:t>
            </w:r>
            <w:r>
              <w:rPr>
                <w:rFonts w:hint="eastAsia" w:ascii="宋体" w:hAnsi="宋体" w:eastAsia="宋体" w:cs="Times New Roman"/>
                <w:bCs/>
                <w:szCs w:val="21"/>
                <w14:ligatures w14:val="none"/>
              </w:rPr>
              <w:t>）投标报价中报价的大写金额能够确定具体数值。</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5</w:t>
            </w:r>
            <w:r>
              <w:rPr>
                <w:rFonts w:hint="eastAsia" w:ascii="宋体" w:hAnsi="宋体" w:eastAsia="宋体" w:cs="Times New Roman"/>
                <w:bCs/>
                <w:szCs w:val="21"/>
                <w14:ligatures w14:val="none"/>
              </w:rPr>
              <w:t>）投标人未提交两个以上不同的投标报价。</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（6）投标人未提交调价函。</w:t>
            </w:r>
          </w:p>
          <w:p>
            <w:pPr>
              <w:tabs>
                <w:tab w:val="left" w:pos="3060"/>
              </w:tabs>
              <w:spacing w:line="320" w:lineRule="exact"/>
              <w:ind w:firstLine="205" w:firstLineChars="98"/>
              <w:rPr>
                <w:rFonts w:ascii="宋体" w:hAnsi="宋体" w:eastAsia="宋体" w:cs="Times New Roman"/>
                <w:b/>
                <w:szCs w:val="21"/>
                <w14:ligatures w14:val="none"/>
              </w:rPr>
            </w:pPr>
            <w:r>
              <w:rPr>
                <w:rFonts w:hint="eastAsia" w:ascii="宋体" w:hAnsi="宋体" w:eastAsia="宋体" w:cs="Times New Roman"/>
                <w:bCs/>
                <w:szCs w:val="21"/>
                <w14:ligatures w14:val="none"/>
              </w:rPr>
              <w:t>（7）报价清单中的投标报价和投标函大写金额报价一致。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2.1.2</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资格评审标准</w:t>
            </w:r>
          </w:p>
        </w:tc>
        <w:tc>
          <w:tcPr>
            <w:tcW w:w="7648" w:type="dxa"/>
            <w:vAlign w:val="center"/>
          </w:tcPr>
          <w:p>
            <w:pPr>
              <w:tabs>
                <w:tab w:val="left" w:pos="3060"/>
              </w:tabs>
              <w:spacing w:line="36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w:t>
            </w:r>
            <w:r>
              <w:rPr>
                <w:rFonts w:hint="eastAsia" w:ascii="宋体" w:hAnsi="宋体" w:eastAsia="宋体" w:cs="Times New Roman"/>
                <w:bCs/>
                <w14:ligatures w14:val="none"/>
              </w:rPr>
              <w:t>（或事业单位法人证书）、</w:t>
            </w:r>
            <w:r>
              <w:rPr>
                <w:rFonts w:hint="eastAsia" w:ascii="宋体" w:hAnsi="宋体" w:eastAsia="宋体" w:cs="Times New Roman"/>
                <w:szCs w:val="21"/>
                <w14:ligatures w14:val="none"/>
              </w:rPr>
              <w:t>基本账户开户许可证（或基本存款账户信息）；</w:t>
            </w:r>
          </w:p>
          <w:p>
            <w:pPr>
              <w:tabs>
                <w:tab w:val="left" w:pos="3060"/>
              </w:tabs>
              <w:spacing w:line="36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（2）投标人的类似项目业绩符合招标文件规定；</w:t>
            </w:r>
          </w:p>
          <w:p>
            <w:pPr>
              <w:tabs>
                <w:tab w:val="left" w:pos="3060"/>
              </w:tabs>
              <w:spacing w:line="36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 xml:space="preserve">）投标人的项目负责人资格符合招标文件规定； </w:t>
            </w:r>
          </w:p>
          <w:p>
            <w:pPr>
              <w:tabs>
                <w:tab w:val="left" w:pos="3060"/>
              </w:tabs>
              <w:spacing w:line="36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2.2.1</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分值构成（总分100分）</w:t>
            </w:r>
          </w:p>
        </w:tc>
        <w:tc>
          <w:tcPr>
            <w:tcW w:w="7648" w:type="dxa"/>
            <w:vAlign w:val="center"/>
          </w:tcPr>
          <w:p>
            <w:pPr>
              <w:jc w:val="left"/>
              <w:rPr>
                <w:rFonts w:ascii="宋体" w:hAnsi="宋体" w:eastAsia="宋体" w:cs="Times New Roman"/>
                <w:b/>
                <w14:ligatures w14:val="none"/>
              </w:rPr>
            </w:pPr>
            <w:r>
              <w:rPr>
                <w:rFonts w:hint="eastAsia" w:ascii="宋体" w:hAnsi="宋体" w:eastAsia="宋体" w:cs="Times New Roman"/>
                <w:b/>
                <w14:ligatures w14:val="none"/>
              </w:rPr>
              <w:t>第一个信封（商务及技术文件）评分分值构成：</w:t>
            </w:r>
          </w:p>
          <w:p>
            <w:pPr>
              <w:jc w:val="left"/>
              <w:rPr>
                <w:rFonts w:ascii="宋体" w:hAnsi="宋体" w:eastAsia="宋体" w:cs="Times New Roman"/>
                <w:b/>
                <w14:ligatures w14:val="none"/>
              </w:rPr>
            </w:pPr>
            <w:r>
              <w:rPr>
                <w:rFonts w:hint="eastAsia" w:ascii="宋体" w:hAnsi="宋体" w:eastAsia="宋体" w:cs="Times New Roman"/>
                <w:b/>
                <w14:ligatures w14:val="none"/>
              </w:rPr>
              <w:t>技术建议书：</w:t>
            </w:r>
            <w:r>
              <w:rPr>
                <w:rFonts w:hint="eastAsia" w:ascii="宋体" w:hAnsi="宋体" w:eastAsia="宋体" w:cs="Times New Roman"/>
                <w:b/>
                <w:u w:val="single"/>
                <w14:ligatures w14:val="none"/>
              </w:rPr>
              <w:t>45</w:t>
            </w:r>
            <w:r>
              <w:rPr>
                <w:rFonts w:hint="eastAsia" w:ascii="宋体" w:hAnsi="宋体" w:eastAsia="宋体" w:cs="Times New Roman"/>
                <w:b/>
                <w14:ligatures w14:val="none"/>
              </w:rPr>
              <w:t>分</w:t>
            </w:r>
          </w:p>
          <w:p>
            <w:pPr>
              <w:jc w:val="left"/>
              <w:rPr>
                <w:rFonts w:ascii="宋体" w:hAnsi="宋体" w:eastAsia="宋体" w:cs="Times New Roman"/>
                <w:b/>
                <w14:ligatures w14:val="none"/>
              </w:rPr>
            </w:pPr>
            <w:r>
              <w:rPr>
                <w:rFonts w:hint="eastAsia" w:ascii="宋体" w:hAnsi="宋体" w:eastAsia="宋体" w:cs="Times New Roman"/>
                <w:b/>
                <w14:ligatures w14:val="none"/>
              </w:rPr>
              <w:t>主要人员：</w:t>
            </w:r>
            <w:r>
              <w:rPr>
                <w:rFonts w:ascii="宋体" w:hAnsi="宋体" w:eastAsia="宋体" w:cs="Times New Roman"/>
                <w:b/>
                <w:u w:val="single"/>
                <w14:ligatures w14:val="none"/>
              </w:rPr>
              <w:t>20</w:t>
            </w:r>
            <w:r>
              <w:rPr>
                <w:rFonts w:hint="eastAsia" w:ascii="宋体" w:hAnsi="宋体" w:eastAsia="宋体" w:cs="Times New Roman"/>
                <w:b/>
                <w14:ligatures w14:val="none"/>
              </w:rPr>
              <w:t>分</w:t>
            </w:r>
          </w:p>
          <w:p>
            <w:pPr>
              <w:jc w:val="left"/>
              <w:rPr>
                <w:rFonts w:ascii="宋体" w:hAnsi="宋体" w:eastAsia="宋体" w:cs="Times New Roman"/>
                <w:b/>
                <w14:ligatures w14:val="none"/>
              </w:rPr>
            </w:pPr>
            <w:r>
              <w:rPr>
                <w:rFonts w:hint="eastAsia" w:ascii="宋体" w:hAnsi="宋体" w:eastAsia="宋体" w:cs="Times New Roman"/>
                <w:b/>
                <w14:ligatures w14:val="none"/>
              </w:rPr>
              <w:t>其他因素：</w:t>
            </w:r>
            <w:r>
              <w:rPr>
                <w:rFonts w:hint="eastAsia" w:ascii="宋体" w:hAnsi="宋体" w:eastAsia="宋体" w:cs="Times New Roman"/>
                <w:b/>
                <w:u w:val="single"/>
                <w14:ligatures w14:val="none"/>
              </w:rPr>
              <w:t>2</w:t>
            </w:r>
            <w:r>
              <w:rPr>
                <w:rFonts w:ascii="宋体" w:hAnsi="宋体" w:eastAsia="宋体" w:cs="Times New Roman"/>
                <w:b/>
                <w:u w:val="single"/>
                <w14:ligatures w14:val="none"/>
              </w:rPr>
              <w:t>5</w:t>
            </w:r>
            <w:r>
              <w:rPr>
                <w:rFonts w:hint="eastAsia" w:ascii="宋体" w:hAnsi="宋体" w:eastAsia="宋体" w:cs="Times New Roman"/>
                <w:b/>
                <w14:ligatures w14:val="none"/>
              </w:rPr>
              <w:t>分</w:t>
            </w:r>
          </w:p>
          <w:p>
            <w:pPr>
              <w:jc w:val="left"/>
              <w:rPr>
                <w:rFonts w:ascii="宋体" w:hAnsi="宋体" w:eastAsia="宋体" w:cs="Times New Roman"/>
                <w:b/>
                <w14:ligatures w14:val="none"/>
              </w:rPr>
            </w:pPr>
          </w:p>
          <w:p>
            <w:pPr>
              <w:jc w:val="left"/>
              <w:rPr>
                <w:rFonts w:ascii="宋体" w:hAnsi="宋体" w:eastAsia="宋体" w:cs="Times New Roman"/>
                <w:b/>
                <w14:ligatures w14:val="none"/>
              </w:rPr>
            </w:pPr>
            <w:r>
              <w:rPr>
                <w:rFonts w:hint="eastAsia" w:ascii="宋体" w:hAnsi="宋体" w:eastAsia="宋体" w:cs="Times New Roman"/>
                <w:b/>
                <w14:ligatures w14:val="none"/>
              </w:rPr>
              <w:t>第二个信封（报价文件）评分分值构成：</w:t>
            </w:r>
          </w:p>
          <w:p>
            <w:pPr>
              <w:jc w:val="left"/>
              <w:rPr>
                <w:rFonts w:ascii="宋体" w:hAnsi="宋体" w:eastAsia="宋体" w:cs="Times New Roman"/>
                <w:b/>
                <w14:ligatures w14:val="none"/>
              </w:rPr>
            </w:pPr>
            <w:r>
              <w:rPr>
                <w:rFonts w:hint="eastAsia" w:ascii="宋体" w:hAnsi="宋体" w:eastAsia="宋体" w:cs="Times New Roman"/>
                <w:b/>
                <w14:ligatures w14:val="none"/>
              </w:rPr>
              <w:t>评标价：</w:t>
            </w:r>
            <w:r>
              <w:rPr>
                <w:rFonts w:hint="eastAsia" w:ascii="宋体" w:hAnsi="宋体" w:eastAsia="宋体" w:cs="Times New Roman"/>
                <w:b/>
                <w:u w:val="single"/>
                <w14:ligatures w14:val="none"/>
              </w:rPr>
              <w:t>1</w:t>
            </w:r>
            <w:r>
              <w:rPr>
                <w:rFonts w:ascii="宋体" w:hAnsi="宋体" w:eastAsia="宋体" w:cs="Times New Roman"/>
                <w:b/>
                <w:u w:val="single"/>
                <w14:ligatures w14:val="none"/>
              </w:rPr>
              <w:t>0</w:t>
            </w:r>
            <w:r>
              <w:rPr>
                <w:rFonts w:hint="eastAsia" w:ascii="宋体" w:hAnsi="宋体" w:eastAsia="宋体" w:cs="Times New Roman"/>
                <w:b/>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2.2.2</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评标基准价计算方法</w:t>
            </w:r>
          </w:p>
        </w:tc>
        <w:tc>
          <w:tcPr>
            <w:tcW w:w="7648" w:type="dxa"/>
            <w:vAlign w:val="center"/>
          </w:tcPr>
          <w:p>
            <w:pPr>
              <w:snapToGrid w:val="0"/>
              <w:spacing w:line="320" w:lineRule="exact"/>
              <w:jc w:val="left"/>
              <w:rPr>
                <w:rFonts w:ascii="宋体" w:hAnsi="宋体" w:eastAsia="宋体" w:cs="Times New Roman"/>
                <w:b/>
                <w14:ligatures w14:val="none"/>
              </w:rPr>
            </w:pPr>
            <w:r>
              <w:rPr>
                <w:rFonts w:hint="eastAsia" w:ascii="宋体" w:hAnsi="宋体" w:eastAsia="宋体" w:cs="Times New Roman"/>
                <w:b/>
                <w14:ligatures w14:val="none"/>
              </w:rPr>
              <w:t>评标基准价的计算：</w:t>
            </w:r>
          </w:p>
          <w:p>
            <w:pPr>
              <w:snapToGrid w:val="0"/>
              <w:spacing w:line="32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在开标现场，招标人将当场计算并宣布评标基准价。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eastAsia="宋体" w:cs="Times New Roman"/>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2.2.3</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评标价的偏差率计算公式</w:t>
            </w:r>
          </w:p>
        </w:tc>
        <w:tc>
          <w:tcPr>
            <w:tcW w:w="7648" w:type="dxa"/>
            <w:vAlign w:val="center"/>
          </w:tcPr>
          <w:p>
            <w:pPr>
              <w:jc w:val="left"/>
              <w:rPr>
                <w:rFonts w:ascii="宋体" w:hAnsi="宋体" w:eastAsia="宋体" w:cs="Times New Roman"/>
                <w14:ligatures w14:val="none"/>
              </w:rPr>
            </w:pPr>
            <w:r>
              <w:rPr>
                <w:rFonts w:hint="eastAsia" w:ascii="宋体" w:hAnsi="宋体" w:eastAsia="宋体" w:cs="Times New Roman"/>
                <w14:ligatures w14:val="none"/>
              </w:rPr>
              <w:t>偏差率=100%×（投标人评标价-评标基准价）／评标基准价</w:t>
            </w:r>
          </w:p>
          <w:p>
            <w:pPr>
              <w:jc w:val="left"/>
              <w:rPr>
                <w:rFonts w:ascii="宋体" w:hAnsi="宋体" w:eastAsia="宋体" w:cs="Times New Roman"/>
                <w14:ligatures w14:val="none"/>
              </w:rPr>
            </w:pPr>
            <w:r>
              <w:rPr>
                <w:rFonts w:hint="eastAsia" w:ascii="宋体" w:hAnsi="宋体" w:eastAsia="宋体" w:cs="Times New Roman"/>
                <w14:ligatures w14: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宋体" w:cs="Times New Roman"/>
                <w:szCs w:val="21"/>
                <w14:ligatures w14:val="none"/>
              </w:rPr>
            </w:pPr>
            <w:r>
              <w:rPr>
                <w:rFonts w:hint="eastAsia" w:ascii="宋体" w:hAnsi="宋体" w:eastAsia="宋体" w:cs="Times New Roman"/>
                <w14:ligatures w14:val="none"/>
              </w:rPr>
              <w:t>3</w:t>
            </w:r>
            <w:r>
              <w:rPr>
                <w:rFonts w:ascii="宋体" w:hAnsi="宋体" w:eastAsia="宋体" w:cs="Times New Roman"/>
                <w14:ligatures w14:val="none"/>
              </w:rPr>
              <w:t>.6.1</w:t>
            </w:r>
          </w:p>
        </w:tc>
        <w:tc>
          <w:tcPr>
            <w:tcW w:w="1134" w:type="dxa"/>
            <w:vAlign w:val="center"/>
          </w:tcPr>
          <w:p>
            <w:pPr>
              <w:adjustRightInd w:val="0"/>
              <w:snapToGrid w:val="0"/>
              <w:spacing w:line="300" w:lineRule="exact"/>
              <w:jc w:val="center"/>
              <w:rPr>
                <w:rFonts w:ascii="宋体" w:hAnsi="宋体" w:eastAsia="宋体" w:cs="Times New Roman"/>
                <w14:ligatures w14:val="none"/>
              </w:rPr>
            </w:pPr>
            <w:r>
              <w:rPr>
                <w:rFonts w:hint="eastAsia" w:ascii="宋体" w:hAnsi="宋体" w:eastAsia="宋体" w:cs="Times New Roman"/>
                <w14:ligatures w14:val="none"/>
              </w:rPr>
              <w:t>信息查询</w:t>
            </w:r>
          </w:p>
        </w:tc>
        <w:tc>
          <w:tcPr>
            <w:tcW w:w="7648" w:type="dxa"/>
            <w:vAlign w:val="center"/>
          </w:tcPr>
          <w:p>
            <w:pPr>
              <w:autoSpaceDE w:val="0"/>
              <w:autoSpaceDN w:val="0"/>
              <w:spacing w:line="273" w:lineRule="auto"/>
              <w:rPr>
                <w:rFonts w:ascii="宋体" w:hAnsi="宋体" w:eastAsia="宋体" w:cs="Times New Roman"/>
                <w14:ligatures w14:val="none"/>
              </w:rPr>
            </w:pPr>
            <w:r>
              <w:rPr>
                <w:rFonts w:hint="eastAsia" w:ascii="宋体" w:hAnsi="宋体" w:eastAsia="宋体" w:cs="Times New Roman"/>
                <w14:ligatures w14:val="none"/>
              </w:rPr>
              <w:t>本款修改为：</w:t>
            </w:r>
          </w:p>
          <w:p>
            <w:pPr>
              <w:autoSpaceDE w:val="0"/>
              <w:autoSpaceDN w:val="0"/>
              <w:spacing w:line="273"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817"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3.9.1</w:t>
            </w:r>
          </w:p>
        </w:tc>
        <w:tc>
          <w:tcPr>
            <w:tcW w:w="1134" w:type="dxa"/>
            <w:vAlign w:val="center"/>
          </w:tcPr>
          <w:p>
            <w:pPr>
              <w:ind w:left="-31" w:leftChars="-15" w:right="-77"/>
              <w:jc w:val="center"/>
              <w:rPr>
                <w:rFonts w:ascii="宋体" w:hAnsi="宋体" w:eastAsia="宋体" w:cs="Times New Roman"/>
                <w:szCs w:val="21"/>
                <w14:ligatures w14:val="none"/>
              </w:rPr>
            </w:pPr>
            <w:r>
              <w:rPr>
                <w:rFonts w:hint="eastAsia" w:ascii="宋体" w:hAnsi="宋体" w:eastAsia="宋体" w:cs="Times New Roman"/>
                <w:szCs w:val="21"/>
                <w14:ligatures w14:val="none"/>
              </w:rPr>
              <w:t>评标结果</w:t>
            </w:r>
          </w:p>
        </w:tc>
        <w:tc>
          <w:tcPr>
            <w:tcW w:w="7648" w:type="dxa"/>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本款补充：</w:t>
            </w:r>
          </w:p>
          <w:p>
            <w:pPr>
              <w:spacing w:line="340" w:lineRule="exact"/>
              <w:ind w:right="113" w:firstLine="426" w:firstLineChars="203"/>
              <w:rPr>
                <w:rFonts w:ascii="宋体" w:hAnsi="宋体" w:eastAsia="宋体" w:cs="Times New Roman"/>
                <w:szCs w:val="21"/>
                <w14:ligatures w14:val="none"/>
              </w:rPr>
            </w:pPr>
            <w:r>
              <w:rPr>
                <w:rFonts w:hint="eastAsia" w:ascii="宋体" w:hAnsi="宋体" w:eastAsia="宋体" w:cs="Times New Roman"/>
                <w:bCs/>
                <w:szCs w:val="21"/>
                <w14:ligatures w14:val="none"/>
              </w:rPr>
              <w:t>通过第一信封商务文件和技术文件评审的投标人少于</w:t>
            </w:r>
            <w:r>
              <w:rPr>
                <w:rFonts w:ascii="宋体" w:hAnsi="宋体" w:eastAsia="宋体" w:cs="Times New Roman"/>
                <w:bCs/>
                <w:szCs w:val="21"/>
                <w14:ligatures w14:val="none"/>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eastAsia="宋体" w:cs="Times New Roman"/>
                <w:bCs/>
                <w:szCs w:val="21"/>
                <w14:ligatures w14:val="none"/>
              </w:rPr>
              <w:t>按照评标办法前附表“1.评标办法”的规定</w:t>
            </w:r>
            <w:r>
              <w:rPr>
                <w:rFonts w:ascii="宋体" w:hAnsi="宋体" w:eastAsia="宋体" w:cs="Times New Roman"/>
                <w:bCs/>
                <w:szCs w:val="21"/>
                <w14:ligatures w14:val="none"/>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eastAsia="宋体" w:cs="Times New Roman"/>
                <w:bCs/>
                <w:szCs w:val="21"/>
                <w14:ligatures w14:val="none"/>
              </w:rPr>
            </w:pPr>
            <w:r>
              <w:rPr>
                <w:rFonts w:hint="eastAsia" w:ascii="宋体" w:hAnsi="宋体" w:eastAsia="宋体" w:cs="Times New Roman"/>
                <w:szCs w:val="21"/>
                <w14:ligatures w14:val="none"/>
              </w:rPr>
              <w:t>需要补充的其他内容：</w:t>
            </w:r>
            <w:r>
              <w:rPr>
                <w:rFonts w:hint="eastAsia" w:ascii="宋体" w:hAnsi="宋体" w:eastAsia="宋体" w:cs="Times New Roman"/>
                <w:bCs/>
                <w:szCs w:val="21"/>
                <w14:ligatures w14:val="none"/>
              </w:rPr>
              <w:t>无</w:t>
            </w:r>
          </w:p>
        </w:tc>
      </w:tr>
    </w:tbl>
    <w:p>
      <w:pPr>
        <w:rPr>
          <w:rFonts w:ascii="Calibri" w:hAnsi="Calibri" w:eastAsia="宋体" w:cs="Times New Roman"/>
          <w14:ligatures w14:val="none"/>
        </w:rPr>
      </w:pPr>
    </w:p>
    <w:p>
      <w:pPr>
        <w:jc w:val="right"/>
        <w:rPr>
          <w:rFonts w:ascii="Calibri" w:hAnsi="Calibri" w:eastAsia="宋体" w:cs="Times New Roman"/>
          <w14:ligatures w14:val="none"/>
        </w:rPr>
      </w:pPr>
      <w:r>
        <w:rPr>
          <w:rFonts w:ascii="Calibri" w:hAnsi="Calibri" w:eastAsia="宋体" w:cs="Times New Roman"/>
          <w14:ligatures w14:val="none"/>
        </w:rPr>
        <w:br w:type="page"/>
      </w:r>
      <w:r>
        <w:rPr>
          <w:rFonts w:hint="eastAsia" w:ascii="Calibri" w:hAnsi="Calibri" w:eastAsia="宋体" w:cs="Times New Roman"/>
          <w14:ligatures w14:val="none"/>
        </w:rPr>
        <w:t>续上表</w:t>
      </w:r>
    </w:p>
    <w:tbl>
      <w:tblPr>
        <w:tblStyle w:val="2"/>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Times New Roman"/>
                <w14:ligatures w14:val="none"/>
              </w:rPr>
              <w:t>2.2.4(1)</w:t>
            </w:r>
          </w:p>
        </w:tc>
        <w:tc>
          <w:tcPr>
            <w:tcW w:w="1134" w:type="dxa"/>
            <w:gridSpan w:val="2"/>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各评分因素</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eastAsia="宋体" w:cs="宋体"/>
                <w:kern w:val="0"/>
                <w:szCs w:val="21"/>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restart"/>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技术建议书</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（4</w:t>
            </w: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对研究项目的理解</w:t>
            </w:r>
          </w:p>
          <w:p>
            <w:pPr>
              <w:autoSpaceDE w:val="0"/>
              <w:autoSpaceDN w:val="0"/>
              <w:snapToGrid w:val="0"/>
              <w:ind w:left="9"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eastAsia="宋体" w:cs="宋体"/>
                <w:kern w:val="0"/>
                <w:szCs w:val="21"/>
                <w14:ligatures w14:val="none"/>
              </w:rPr>
            </w:pPr>
            <w:r>
              <w:rPr>
                <w:rFonts w:hint="eastAsia" w:ascii="宋体" w:hAnsi="宋体" w:eastAsia="宋体" w:cs="宋体"/>
                <w14:ligatures w14:val="none"/>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目的明确、描述清晰，得4.0（不含）-5.0分；</w:t>
            </w:r>
          </w:p>
          <w:p>
            <w:pPr>
              <w:jc w:val="left"/>
              <w:rPr>
                <w:rFonts w:ascii="宋体" w:hAnsi="宋体" w:eastAsia="宋体" w:cs="宋体"/>
                <w:szCs w:val="21"/>
                <w14:ligatures w14:val="none"/>
              </w:rPr>
            </w:pPr>
            <w:r>
              <w:rPr>
                <w:rFonts w:hint="eastAsia" w:ascii="宋体" w:hAnsi="宋体" w:eastAsia="宋体" w:cs="宋体"/>
                <w:szCs w:val="21"/>
                <w14:ligatures w14:val="none"/>
              </w:rPr>
              <w:t>目的较明确、描述较清晰，得3.0（不含）-4.0（含）分；</w:t>
            </w:r>
          </w:p>
          <w:p>
            <w:pPr>
              <w:snapToGrid w:val="0"/>
              <w:jc w:val="left"/>
              <w:rPr>
                <w:rFonts w:ascii="宋体" w:hAnsi="宋体" w:eastAsia="宋体" w:cs="Times New Roman"/>
                <w:szCs w:val="21"/>
                <w14:ligatures w14:val="none"/>
              </w:rPr>
            </w:pPr>
            <w:r>
              <w:rPr>
                <w:rFonts w:hint="eastAsia" w:ascii="宋体" w:hAnsi="宋体" w:eastAsia="宋体" w:cs="宋体"/>
                <w:kern w:val="0"/>
                <w:sz w:val="20"/>
                <w:szCs w:val="20"/>
                <w14:ligatures w14:val="none"/>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eastAsia="宋体" w:cs="宋体"/>
                <w:kern w:val="0"/>
                <w:szCs w:val="21"/>
                <w14:ligatures w14:val="none"/>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eastAsia="宋体" w:cs="宋体"/>
                <w:kern w:val="0"/>
                <w:szCs w:val="21"/>
                <w14:ligatures w14:val="none"/>
              </w:rPr>
            </w:pPr>
            <w:r>
              <w:rPr>
                <w:rFonts w:hint="eastAsia" w:ascii="宋体" w:hAnsi="宋体" w:eastAsia="宋体" w:cs="宋体"/>
                <w14:ligatures w14:val="none"/>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14:ligatures w14:val="none"/>
              </w:rPr>
              <w:t>了解深入、清楚，得</w:t>
            </w:r>
            <w:r>
              <w:rPr>
                <w:rFonts w:hint="eastAsia" w:ascii="宋体" w:hAnsi="宋体" w:eastAsia="宋体" w:cs="宋体"/>
                <w:szCs w:val="21"/>
                <w14:ligatures w14:val="none"/>
              </w:rPr>
              <w:t>4.0（不含）-5分；</w:t>
            </w:r>
          </w:p>
          <w:p>
            <w:pPr>
              <w:jc w:val="left"/>
              <w:rPr>
                <w:rFonts w:ascii="宋体" w:hAnsi="宋体" w:eastAsia="宋体" w:cs="宋体"/>
                <w:szCs w:val="21"/>
                <w14:ligatures w14:val="none"/>
              </w:rPr>
            </w:pPr>
            <w:r>
              <w:rPr>
                <w:rFonts w:hint="eastAsia" w:ascii="宋体" w:hAnsi="宋体" w:eastAsia="宋体" w:cs="宋体"/>
                <w:szCs w:val="21"/>
                <w14:ligatures w14:val="none"/>
              </w:rPr>
              <w:t>了解较深入、较清楚，得3.0（不含）-4.0（含）分；</w:t>
            </w:r>
          </w:p>
          <w:p>
            <w:pPr>
              <w:snapToGrid w:val="0"/>
              <w:jc w:val="left"/>
              <w:rPr>
                <w:rFonts w:ascii="宋体" w:hAnsi="宋体" w:eastAsia="宋体" w:cs="Times New Roman"/>
                <w:szCs w:val="21"/>
                <w14:ligatures w14:val="none"/>
              </w:rPr>
            </w:pPr>
            <w:r>
              <w:rPr>
                <w:rFonts w:hint="eastAsia" w:ascii="宋体" w:hAnsi="宋体" w:eastAsia="宋体" w:cs="宋体"/>
                <w:kern w:val="0"/>
                <w:sz w:val="20"/>
                <w:szCs w:val="21"/>
                <w14:ligatures w14:val="none"/>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992" w:type="dxa"/>
            <w:vMerge w:val="restart"/>
            <w:tcBorders>
              <w:right w:val="single" w:color="auto" w:sz="4" w:space="0"/>
            </w:tcBorders>
            <w:vAlign w:val="center"/>
          </w:tcPr>
          <w:p>
            <w:pPr>
              <w:spacing w:line="320" w:lineRule="exact"/>
              <w:ind w:left="20"/>
              <w:jc w:val="center"/>
              <w:rPr>
                <w:rFonts w:ascii="宋体" w:hAnsi="宋体" w:eastAsia="宋体" w:cs="宋体"/>
                <w14:ligatures w14:val="none"/>
              </w:rPr>
            </w:pPr>
            <w:r>
              <w:rPr>
                <w:rFonts w:hint="eastAsia" w:ascii="宋体" w:hAnsi="宋体" w:eastAsia="宋体" w:cs="宋体"/>
                <w14:ligatures w14:val="none"/>
              </w:rPr>
              <w:t>项目研究实施方案</w:t>
            </w:r>
          </w:p>
          <w:p>
            <w:pPr>
              <w:snapToGrid w:val="0"/>
              <w:ind w:left="27" w:leftChars="-48" w:right="-31" w:rightChars="-15" w:hanging="128" w:hangingChars="64"/>
              <w:jc w:val="center"/>
              <w:rPr>
                <w:rFonts w:ascii="宋体" w:hAnsi="宋体" w:eastAsia="宋体" w:cs="Times New Roman"/>
                <w:szCs w:val="21"/>
                <w14:ligatures w14:val="none"/>
              </w:rPr>
            </w:pPr>
            <w:r>
              <w:rPr>
                <w:rFonts w:hint="eastAsia" w:ascii="宋体" w:hAnsi="宋体" w:eastAsia="宋体" w:cs="宋体"/>
                <w:kern w:val="0"/>
                <w:sz w:val="20"/>
                <w:szCs w:val="20"/>
                <w14:ligatures w14:val="none"/>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eastAsia="宋体" w:cs="宋体"/>
                <w14:ligatures w14:val="none"/>
              </w:rPr>
            </w:pPr>
            <w:r>
              <w:rPr>
                <w:rFonts w:hint="eastAsia" w:ascii="宋体" w:hAnsi="宋体" w:eastAsia="宋体" w:cs="宋体"/>
                <w14:ligatures w14:val="none"/>
              </w:rPr>
              <w:t>研究的主要内容描述（6分）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内容具体，方案切实可行，得4.8（不含）-6.0分；</w:t>
            </w:r>
          </w:p>
          <w:p>
            <w:pPr>
              <w:jc w:val="left"/>
              <w:rPr>
                <w:rFonts w:ascii="宋体" w:hAnsi="宋体" w:eastAsia="宋体" w:cs="宋体"/>
                <w:szCs w:val="21"/>
                <w14:ligatures w14:val="none"/>
              </w:rPr>
            </w:pPr>
            <w:r>
              <w:rPr>
                <w:rFonts w:hint="eastAsia" w:ascii="宋体" w:hAnsi="宋体" w:eastAsia="宋体" w:cs="宋体"/>
                <w:szCs w:val="21"/>
                <w14:ligatures w14:val="none"/>
              </w:rPr>
              <w:t>内容清楚，方案基本可行，得3.6（不含）-4.8（含）分；</w:t>
            </w:r>
          </w:p>
          <w:p>
            <w:pPr>
              <w:snapToGrid w:val="0"/>
              <w:jc w:val="left"/>
              <w:rPr>
                <w:rFonts w:ascii="宋体" w:hAnsi="宋体" w:eastAsia="宋体" w:cs="宋体"/>
                <w:szCs w:val="21"/>
                <w14:ligatures w14:val="none"/>
              </w:rPr>
            </w:pPr>
            <w:r>
              <w:rPr>
                <w:rFonts w:hint="eastAsia" w:ascii="宋体" w:hAnsi="宋体" w:eastAsia="宋体" w:cs="宋体"/>
                <w:szCs w:val="21"/>
                <w14:ligatures w14:val="none"/>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992" w:type="dxa"/>
            <w:vMerge w:val="continue"/>
            <w:tcBorders>
              <w:right w:val="single" w:color="auto" w:sz="4" w:space="0"/>
            </w:tcBorders>
            <w:vAlign w:val="center"/>
          </w:tcPr>
          <w:p>
            <w:pPr>
              <w:snapToGrid w:val="0"/>
              <w:ind w:left="33" w:leftChars="-48" w:right="-31" w:rightChars="-15" w:hanging="134" w:hangingChars="64"/>
              <w:jc w:val="center"/>
              <w:rPr>
                <w:rFonts w:ascii="宋体" w:hAnsi="宋体" w:eastAsia="宋体" w:cs="Times New Roman"/>
                <w:szCs w:val="21"/>
                <w14:ligatures w14:val="none"/>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eastAsia="宋体" w:cs="宋体"/>
                <w14:ligatures w14:val="none"/>
              </w:rPr>
            </w:pPr>
            <w:r>
              <w:rPr>
                <w:rFonts w:hint="eastAsia" w:ascii="宋体" w:hAnsi="宋体" w:eastAsia="宋体" w:cs="宋体"/>
                <w14:ligatures w14:val="none"/>
              </w:rPr>
              <w:t>研究采用的技术路线（8分）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把握准确、描述具体清楚，得6.4（不含）-8.0分；</w:t>
            </w:r>
          </w:p>
          <w:p>
            <w:pPr>
              <w:jc w:val="left"/>
              <w:rPr>
                <w:rFonts w:ascii="宋体" w:hAnsi="宋体" w:eastAsia="宋体" w:cs="宋体"/>
                <w:szCs w:val="21"/>
                <w14:ligatures w14:val="none"/>
              </w:rPr>
            </w:pPr>
            <w:r>
              <w:rPr>
                <w:rFonts w:hint="eastAsia" w:ascii="宋体" w:hAnsi="宋体" w:eastAsia="宋体" w:cs="宋体"/>
                <w:szCs w:val="21"/>
                <w14:ligatures w14:val="none"/>
              </w:rPr>
              <w:t>把握较准确、描述清楚，得4.8（不含）-6.4（含）分；</w:t>
            </w:r>
          </w:p>
          <w:p>
            <w:pPr>
              <w:snapToGrid w:val="0"/>
              <w:jc w:val="left"/>
              <w:rPr>
                <w:rFonts w:ascii="宋体" w:hAnsi="宋体" w:eastAsia="宋体" w:cs="宋体"/>
                <w:szCs w:val="21"/>
                <w14:ligatures w14:val="none"/>
              </w:rPr>
            </w:pPr>
            <w:r>
              <w:rPr>
                <w:rFonts w:hint="eastAsia" w:ascii="宋体" w:hAnsi="宋体" w:eastAsia="宋体" w:cs="宋体"/>
                <w:szCs w:val="21"/>
                <w14:ligatures w14:val="none"/>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992" w:type="dxa"/>
            <w:vMerge w:val="continue"/>
            <w:tcBorders>
              <w:right w:val="single" w:color="auto" w:sz="4" w:space="0"/>
            </w:tcBorders>
            <w:vAlign w:val="center"/>
          </w:tcPr>
          <w:p>
            <w:pPr>
              <w:snapToGrid w:val="0"/>
              <w:ind w:left="27" w:leftChars="-48" w:right="-31" w:rightChars="-15" w:hanging="128" w:hangingChars="64"/>
              <w:jc w:val="center"/>
              <w:rPr>
                <w:rFonts w:ascii="宋体" w:hAnsi="宋体" w:eastAsia="宋体" w:cs="宋体"/>
                <w:kern w:val="0"/>
                <w:sz w:val="20"/>
                <w:szCs w:val="21"/>
                <w14:ligatures w14:val="none"/>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eastAsia="宋体" w:cs="宋体"/>
                <w14:ligatures w14:val="none"/>
              </w:rPr>
            </w:pPr>
            <w:r>
              <w:rPr>
                <w:rFonts w:hint="eastAsia" w:ascii="宋体" w:hAnsi="宋体" w:eastAsia="宋体" w:cs="宋体"/>
                <w14:ligatures w14:val="none"/>
              </w:rPr>
              <w:t>对原有创新点的理解和建议</w:t>
            </w:r>
          </w:p>
          <w:p>
            <w:pPr>
              <w:autoSpaceDE w:val="0"/>
              <w:autoSpaceDN w:val="0"/>
              <w:snapToGrid w:val="0"/>
              <w:ind w:left="33" w:leftChars="-48" w:right="-31" w:rightChars="-15" w:hanging="134" w:hangingChars="64"/>
              <w:jc w:val="left"/>
              <w:rPr>
                <w:rFonts w:ascii="宋体" w:hAnsi="宋体" w:eastAsia="宋体" w:cs="宋体"/>
                <w14:ligatures w14:val="none"/>
              </w:rPr>
            </w:pPr>
            <w:r>
              <w:rPr>
                <w:rFonts w:hint="eastAsia" w:ascii="宋体" w:hAnsi="宋体" w:eastAsia="宋体" w:cs="宋体"/>
                <w14:ligatures w14:val="none"/>
              </w:rPr>
              <w:t>（6分）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明确、合理可行，得4.8（不含）-6.0分；</w:t>
            </w:r>
          </w:p>
          <w:p>
            <w:pPr>
              <w:jc w:val="left"/>
              <w:rPr>
                <w:rFonts w:ascii="宋体" w:hAnsi="宋体" w:eastAsia="宋体" w:cs="宋体"/>
                <w:szCs w:val="21"/>
                <w14:ligatures w14:val="none"/>
              </w:rPr>
            </w:pPr>
            <w:r>
              <w:rPr>
                <w:rFonts w:hint="eastAsia" w:ascii="宋体" w:hAnsi="宋体" w:eastAsia="宋体" w:cs="宋体"/>
                <w:szCs w:val="21"/>
                <w14:ligatures w14:val="none"/>
              </w:rPr>
              <w:t>比较明确、较合理可行，得3.6（不含）-4.8（含）分；</w:t>
            </w:r>
          </w:p>
          <w:p>
            <w:pPr>
              <w:snapToGrid w:val="0"/>
              <w:jc w:val="left"/>
              <w:rPr>
                <w:rFonts w:ascii="宋体" w:hAnsi="宋体" w:eastAsia="宋体" w:cs="宋体"/>
                <w:szCs w:val="21"/>
                <w14:ligatures w14:val="none"/>
              </w:rPr>
            </w:pPr>
            <w:r>
              <w:rPr>
                <w:rFonts w:hint="eastAsia" w:ascii="宋体" w:hAnsi="宋体" w:eastAsia="宋体" w:cs="宋体"/>
                <w:szCs w:val="21"/>
                <w14:ligatures w14:val="none"/>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2410" w:type="dxa"/>
            <w:gridSpan w:val="2"/>
            <w:tcBorders>
              <w:right w:val="single" w:color="auto" w:sz="4" w:space="0"/>
            </w:tcBorders>
            <w:vAlign w:val="center"/>
          </w:tcPr>
          <w:p>
            <w:pPr>
              <w:spacing w:line="320" w:lineRule="exact"/>
              <w:ind w:left="20"/>
              <w:jc w:val="left"/>
              <w:rPr>
                <w:rFonts w:ascii="宋体" w:hAnsi="宋体" w:eastAsia="宋体" w:cs="宋体"/>
                <w14:ligatures w14:val="none"/>
              </w:rPr>
            </w:pPr>
            <w:r>
              <w:rPr>
                <w:rFonts w:hint="eastAsia" w:ascii="宋体" w:hAnsi="宋体" w:eastAsia="宋体" w:cs="宋体"/>
                <w14:ligatures w14:val="none"/>
              </w:rPr>
              <w:t>工作计划与进度安排</w:t>
            </w:r>
          </w:p>
          <w:p>
            <w:pPr>
              <w:snapToGrid w:val="0"/>
              <w:jc w:val="left"/>
              <w:rPr>
                <w:rFonts w:ascii="宋体" w:hAnsi="宋体" w:eastAsia="宋体" w:cs="Times New Roman"/>
                <w:szCs w:val="21"/>
                <w14:ligatures w14:val="none"/>
              </w:rPr>
            </w:pPr>
            <w:r>
              <w:rPr>
                <w:rFonts w:hint="eastAsia" w:ascii="宋体" w:hAnsi="宋体" w:eastAsia="宋体" w:cs="宋体"/>
                <w:kern w:val="0"/>
                <w:sz w:val="20"/>
                <w:szCs w:val="20"/>
                <w14:ligatures w14:val="none"/>
              </w:rPr>
              <w:t>（</w:t>
            </w:r>
            <w:r>
              <w:rPr>
                <w:rFonts w:ascii="宋体" w:hAnsi="宋体" w:eastAsia="宋体" w:cs="宋体"/>
                <w:kern w:val="0"/>
                <w:sz w:val="20"/>
                <w:szCs w:val="20"/>
                <w14:ligatures w14:val="none"/>
              </w:rPr>
              <w:t>5</w:t>
            </w:r>
            <w:r>
              <w:rPr>
                <w:rFonts w:hint="eastAsia" w:ascii="宋体" w:hAnsi="宋体" w:eastAsia="宋体" w:cs="宋体"/>
                <w:kern w:val="0"/>
                <w:sz w:val="20"/>
                <w:szCs w:val="20"/>
                <w14:ligatures w14:val="none"/>
              </w:rPr>
              <w:t>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计划进度安排科学合理，得4.0（不含）-5.0分；</w:t>
            </w:r>
          </w:p>
          <w:p>
            <w:pPr>
              <w:jc w:val="left"/>
              <w:rPr>
                <w:rFonts w:ascii="宋体" w:hAnsi="宋体" w:eastAsia="宋体" w:cs="宋体"/>
                <w:szCs w:val="21"/>
                <w14:ligatures w14:val="none"/>
              </w:rPr>
            </w:pPr>
            <w:r>
              <w:rPr>
                <w:rFonts w:hint="eastAsia" w:ascii="宋体" w:hAnsi="宋体" w:eastAsia="宋体" w:cs="宋体"/>
                <w:szCs w:val="21"/>
                <w14:ligatures w14:val="none"/>
              </w:rPr>
              <w:t>计划进度安排合理，得3.0（不含）-4.0（含）分；</w:t>
            </w:r>
          </w:p>
          <w:p>
            <w:pPr>
              <w:snapToGrid w:val="0"/>
              <w:jc w:val="left"/>
              <w:rPr>
                <w:rFonts w:ascii="宋体" w:hAnsi="宋体" w:eastAsia="宋体" w:cs="宋体"/>
                <w:szCs w:val="21"/>
                <w14:ligatures w14:val="none"/>
              </w:rPr>
            </w:pPr>
            <w:r>
              <w:rPr>
                <w:rFonts w:hint="eastAsia" w:ascii="宋体" w:hAnsi="宋体" w:eastAsia="宋体" w:cs="宋体"/>
                <w:szCs w:val="21"/>
                <w14:ligatures w14:val="none"/>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2410" w:type="dxa"/>
            <w:gridSpan w:val="2"/>
            <w:tcBorders>
              <w:right w:val="single" w:color="auto" w:sz="4" w:space="0"/>
            </w:tcBorders>
            <w:vAlign w:val="center"/>
          </w:tcPr>
          <w:p>
            <w:pPr>
              <w:spacing w:line="320" w:lineRule="exact"/>
              <w:ind w:left="20"/>
              <w:jc w:val="left"/>
              <w:rPr>
                <w:rFonts w:ascii="Calibri" w:hAnsi="宋体" w:eastAsia="宋体" w:cs="Times New Roman"/>
                <w:szCs w:val="21"/>
                <w14:ligatures w14:val="none"/>
              </w:rPr>
            </w:pPr>
            <w:r>
              <w:rPr>
                <w:rFonts w:hint="eastAsia" w:ascii="宋体" w:hAnsi="宋体" w:eastAsia="宋体" w:cs="宋体"/>
                <w14:ligatures w14:val="none"/>
              </w:rPr>
              <w:t>项目研究质量与进度保障措施（</w:t>
            </w:r>
            <w:r>
              <w:rPr>
                <w:rFonts w:ascii="宋体" w:hAnsi="宋体" w:eastAsia="宋体" w:cs="宋体"/>
                <w14:ligatures w14:val="none"/>
              </w:rPr>
              <w:t>6</w:t>
            </w:r>
            <w:r>
              <w:rPr>
                <w:rFonts w:hint="eastAsia" w:ascii="宋体" w:hAnsi="宋体" w:eastAsia="宋体" w:cs="宋体"/>
                <w14:ligatures w14:val="none"/>
              </w:rPr>
              <w:t>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研究质量与进度保障措施科学合理，可操作性强，得</w:t>
            </w:r>
            <w:r>
              <w:rPr>
                <w:rFonts w:ascii="宋体" w:hAnsi="宋体" w:eastAsia="宋体" w:cs="宋体"/>
                <w:szCs w:val="21"/>
                <w14:ligatures w14:val="none"/>
              </w:rPr>
              <w:t>4</w:t>
            </w:r>
            <w:r>
              <w:rPr>
                <w:rFonts w:hint="eastAsia" w:ascii="宋体" w:hAnsi="宋体" w:eastAsia="宋体" w:cs="宋体"/>
                <w:szCs w:val="21"/>
                <w14:ligatures w14:val="none"/>
              </w:rPr>
              <w:t>.</w:t>
            </w:r>
            <w:r>
              <w:rPr>
                <w:rFonts w:ascii="宋体" w:hAnsi="宋体" w:eastAsia="宋体" w:cs="宋体"/>
                <w:szCs w:val="21"/>
                <w14:ligatures w14:val="none"/>
              </w:rPr>
              <w:t>8</w:t>
            </w:r>
            <w:r>
              <w:rPr>
                <w:rFonts w:hint="eastAsia" w:ascii="宋体" w:hAnsi="宋体" w:eastAsia="宋体" w:cs="宋体"/>
                <w:szCs w:val="21"/>
                <w14:ligatures w14:val="none"/>
              </w:rPr>
              <w:t>(不含)-</w:t>
            </w:r>
            <w:r>
              <w:rPr>
                <w:rFonts w:ascii="宋体" w:hAnsi="宋体" w:eastAsia="宋体" w:cs="宋体"/>
                <w:szCs w:val="21"/>
                <w14:ligatures w14:val="none"/>
              </w:rPr>
              <w:t>6</w:t>
            </w:r>
            <w:r>
              <w:rPr>
                <w:rFonts w:hint="eastAsia" w:ascii="宋体" w:hAnsi="宋体" w:eastAsia="宋体" w:cs="宋体"/>
                <w:szCs w:val="21"/>
                <w14:ligatures w14:val="none"/>
              </w:rPr>
              <w:t>.0分；</w:t>
            </w:r>
          </w:p>
          <w:p>
            <w:pPr>
              <w:jc w:val="left"/>
              <w:rPr>
                <w:rFonts w:ascii="宋体" w:hAnsi="宋体" w:eastAsia="宋体" w:cs="宋体"/>
                <w:szCs w:val="21"/>
                <w14:ligatures w14:val="none"/>
              </w:rPr>
            </w:pPr>
            <w:r>
              <w:rPr>
                <w:rFonts w:hint="eastAsia" w:ascii="宋体" w:hAnsi="宋体" w:eastAsia="宋体" w:cs="宋体"/>
                <w:szCs w:val="21"/>
                <w14:ligatures w14:val="none"/>
              </w:rPr>
              <w:t>研究质量与进度保障措施较合理，可操作性较强，得</w:t>
            </w:r>
            <w:r>
              <w:rPr>
                <w:rFonts w:ascii="宋体" w:hAnsi="宋体" w:eastAsia="宋体" w:cs="宋体"/>
                <w:szCs w:val="21"/>
                <w14:ligatures w14:val="none"/>
              </w:rPr>
              <w:t>3</w:t>
            </w:r>
            <w:r>
              <w:rPr>
                <w:rFonts w:hint="eastAsia" w:ascii="宋体" w:hAnsi="宋体" w:eastAsia="宋体" w:cs="宋体"/>
                <w:szCs w:val="21"/>
                <w14:ligatures w14:val="none"/>
              </w:rPr>
              <w:t>.</w:t>
            </w:r>
            <w:r>
              <w:rPr>
                <w:rFonts w:ascii="宋体" w:hAnsi="宋体" w:eastAsia="宋体" w:cs="宋体"/>
                <w:szCs w:val="21"/>
                <w14:ligatures w14:val="none"/>
              </w:rPr>
              <w:t>6</w:t>
            </w:r>
            <w:r>
              <w:rPr>
                <w:rFonts w:hint="eastAsia" w:ascii="宋体" w:hAnsi="宋体" w:eastAsia="宋体" w:cs="宋体"/>
                <w:szCs w:val="21"/>
                <w14:ligatures w14:val="none"/>
              </w:rPr>
              <w:t>（不含）-</w:t>
            </w:r>
            <w:r>
              <w:rPr>
                <w:rFonts w:ascii="宋体" w:hAnsi="宋体" w:eastAsia="宋体" w:cs="宋体"/>
                <w:szCs w:val="21"/>
                <w14:ligatures w14:val="none"/>
              </w:rPr>
              <w:t>4</w:t>
            </w:r>
            <w:r>
              <w:rPr>
                <w:rFonts w:hint="eastAsia" w:ascii="宋体" w:hAnsi="宋体" w:eastAsia="宋体" w:cs="宋体"/>
                <w:szCs w:val="21"/>
                <w14:ligatures w14:val="none"/>
              </w:rPr>
              <w:t>.</w:t>
            </w:r>
            <w:r>
              <w:rPr>
                <w:rFonts w:ascii="宋体" w:hAnsi="宋体" w:eastAsia="宋体" w:cs="宋体"/>
                <w:szCs w:val="21"/>
                <w14:ligatures w14:val="none"/>
              </w:rPr>
              <w:t>8</w:t>
            </w:r>
            <w:r>
              <w:rPr>
                <w:rFonts w:hint="eastAsia" w:ascii="宋体" w:hAnsi="宋体" w:eastAsia="宋体" w:cs="宋体"/>
                <w:szCs w:val="21"/>
                <w14:ligatures w14:val="none"/>
              </w:rPr>
              <w:t>（含）分；</w:t>
            </w:r>
          </w:p>
          <w:p>
            <w:pPr>
              <w:snapToGrid w:val="0"/>
              <w:jc w:val="left"/>
              <w:rPr>
                <w:rFonts w:ascii="宋体" w:hAnsi="宋体" w:eastAsia="宋体" w:cs="宋体"/>
                <w:szCs w:val="21"/>
                <w14:ligatures w14:val="none"/>
              </w:rPr>
            </w:pPr>
            <w:r>
              <w:rPr>
                <w:rFonts w:hint="eastAsia" w:ascii="宋体" w:hAnsi="宋体" w:eastAsia="宋体" w:cs="宋体"/>
                <w:szCs w:val="21"/>
                <w14:ligatures w14:val="none"/>
              </w:rPr>
              <w:t>研究质量与进度保障措施一般，可操作性一般，得</w:t>
            </w:r>
            <w:r>
              <w:rPr>
                <w:rFonts w:ascii="宋体" w:hAnsi="宋体" w:eastAsia="宋体" w:cs="宋体"/>
                <w:szCs w:val="21"/>
                <w14:ligatures w14:val="none"/>
              </w:rPr>
              <w:t>3.6</w:t>
            </w:r>
            <w:r>
              <w:rPr>
                <w:rFonts w:hint="eastAsia" w:ascii="宋体" w:hAnsi="宋体" w:eastAsia="宋体" w:cs="宋体"/>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134" w:type="dxa"/>
            <w:gridSpan w:val="2"/>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2410" w:type="dxa"/>
            <w:gridSpan w:val="2"/>
            <w:tcBorders>
              <w:right w:val="single" w:color="auto" w:sz="4" w:space="0"/>
            </w:tcBorders>
            <w:vAlign w:val="center"/>
          </w:tcPr>
          <w:p>
            <w:pPr>
              <w:spacing w:line="320" w:lineRule="exact"/>
              <w:ind w:left="20"/>
              <w:jc w:val="left"/>
              <w:rPr>
                <w:rFonts w:ascii="宋体" w:hAnsi="宋体" w:eastAsia="宋体" w:cs="宋体"/>
                <w14:ligatures w14:val="none"/>
              </w:rPr>
            </w:pPr>
            <w:r>
              <w:rPr>
                <w:rFonts w:hint="eastAsia" w:ascii="宋体" w:hAnsi="宋体" w:eastAsia="宋体" w:cs="宋体"/>
                <w14:ligatures w14:val="none"/>
              </w:rPr>
              <w:t>研究预期成果及推广前景</w:t>
            </w:r>
          </w:p>
          <w:p>
            <w:pPr>
              <w:snapToGrid w:val="0"/>
              <w:jc w:val="left"/>
              <w:rPr>
                <w:rFonts w:ascii="宋体" w:hAnsi="宋体" w:eastAsia="宋体" w:cs="Times New Roman"/>
                <w:szCs w:val="21"/>
                <w14:ligatures w14:val="none"/>
              </w:rPr>
            </w:pPr>
            <w:r>
              <w:rPr>
                <w:rFonts w:hint="eastAsia" w:ascii="宋体" w:hAnsi="宋体" w:eastAsia="宋体" w:cs="宋体"/>
                <w:kern w:val="0"/>
                <w:sz w:val="20"/>
                <w:szCs w:val="20"/>
                <w14:ligatures w14:val="none"/>
              </w:rPr>
              <w:t>（</w:t>
            </w:r>
            <w:r>
              <w:rPr>
                <w:rFonts w:ascii="宋体" w:hAnsi="宋体" w:eastAsia="宋体" w:cs="宋体"/>
                <w:kern w:val="0"/>
                <w:sz w:val="20"/>
                <w:szCs w:val="20"/>
                <w14:ligatures w14:val="none"/>
              </w:rPr>
              <w:t>4</w:t>
            </w:r>
            <w:r>
              <w:rPr>
                <w:rFonts w:hint="eastAsia" w:ascii="宋体" w:hAnsi="宋体" w:eastAsia="宋体" w:cs="宋体"/>
                <w:kern w:val="0"/>
                <w:sz w:val="20"/>
                <w:szCs w:val="20"/>
                <w14:ligatures w14:val="none"/>
              </w:rPr>
              <w:t>分）</w:t>
            </w:r>
          </w:p>
        </w:tc>
        <w:tc>
          <w:tcPr>
            <w:tcW w:w="4961" w:type="dxa"/>
            <w:tcBorders>
              <w:left w:val="single" w:color="auto" w:sz="4" w:space="0"/>
            </w:tcBorders>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预期成果符合招标项目要求, 推广应用前景把握准确、描述具体清楚，得</w:t>
            </w:r>
            <w:r>
              <w:rPr>
                <w:rFonts w:ascii="宋体" w:hAnsi="宋体" w:eastAsia="宋体" w:cs="宋体"/>
                <w:szCs w:val="21"/>
                <w14:ligatures w14:val="none"/>
              </w:rPr>
              <w:t>3.2</w:t>
            </w:r>
            <w:r>
              <w:rPr>
                <w:rFonts w:hint="eastAsia" w:ascii="宋体" w:hAnsi="宋体" w:eastAsia="宋体" w:cs="宋体"/>
                <w:szCs w:val="21"/>
                <w14:ligatures w14:val="none"/>
              </w:rPr>
              <w:t>（不含）-</w:t>
            </w:r>
            <w:r>
              <w:rPr>
                <w:rFonts w:ascii="宋体" w:hAnsi="宋体" w:eastAsia="宋体" w:cs="宋体"/>
                <w:szCs w:val="21"/>
                <w14:ligatures w14:val="none"/>
              </w:rPr>
              <w:t>4</w:t>
            </w:r>
            <w:r>
              <w:rPr>
                <w:rFonts w:hint="eastAsia" w:ascii="宋体" w:hAnsi="宋体" w:eastAsia="宋体" w:cs="宋体"/>
                <w:szCs w:val="21"/>
                <w14:ligatures w14:val="none"/>
              </w:rPr>
              <w:t>.0分；</w:t>
            </w:r>
          </w:p>
          <w:p>
            <w:pPr>
              <w:jc w:val="left"/>
              <w:rPr>
                <w:rFonts w:ascii="宋体" w:hAnsi="宋体" w:eastAsia="宋体" w:cs="宋体"/>
                <w:szCs w:val="21"/>
                <w14:ligatures w14:val="none"/>
              </w:rPr>
            </w:pPr>
            <w:r>
              <w:rPr>
                <w:rFonts w:hint="eastAsia" w:ascii="宋体" w:hAnsi="宋体" w:eastAsia="宋体" w:cs="宋体"/>
                <w:szCs w:val="21"/>
                <w14:ligatures w14:val="none"/>
              </w:rPr>
              <w:t>预期成果较符合招标项目要求, 推广应用前景把握较准确、描述清楚，得</w:t>
            </w:r>
            <w:r>
              <w:rPr>
                <w:rFonts w:ascii="宋体" w:hAnsi="宋体" w:eastAsia="宋体" w:cs="宋体"/>
                <w:szCs w:val="21"/>
                <w14:ligatures w14:val="none"/>
              </w:rPr>
              <w:t>2.4</w:t>
            </w:r>
            <w:r>
              <w:rPr>
                <w:rFonts w:hint="eastAsia" w:ascii="宋体" w:hAnsi="宋体" w:eastAsia="宋体" w:cs="宋体"/>
                <w:szCs w:val="21"/>
                <w14:ligatures w14:val="none"/>
              </w:rPr>
              <w:t>（不含）-</w:t>
            </w:r>
            <w:r>
              <w:rPr>
                <w:rFonts w:ascii="宋体" w:hAnsi="宋体" w:eastAsia="宋体" w:cs="宋体"/>
                <w:szCs w:val="21"/>
                <w14:ligatures w14:val="none"/>
              </w:rPr>
              <w:t>3.2</w:t>
            </w:r>
            <w:r>
              <w:rPr>
                <w:rFonts w:hint="eastAsia" w:ascii="宋体" w:hAnsi="宋体" w:eastAsia="宋体" w:cs="宋体"/>
                <w:szCs w:val="21"/>
                <w14:ligatures w14:val="none"/>
              </w:rPr>
              <w:t>（含）分；</w:t>
            </w:r>
          </w:p>
          <w:p>
            <w:pPr>
              <w:rPr>
                <w:rFonts w:ascii="宋体" w:hAnsi="宋体" w:eastAsia="宋体" w:cs="宋体"/>
                <w:szCs w:val="21"/>
                <w14:ligatures w14:val="none"/>
              </w:rPr>
            </w:pPr>
            <w:r>
              <w:rPr>
                <w:rFonts w:hint="eastAsia" w:ascii="宋体" w:hAnsi="宋体" w:eastAsia="宋体" w:cs="宋体"/>
                <w:szCs w:val="21"/>
                <w14:ligatures w14:val="none"/>
              </w:rPr>
              <w:t>预期成果基本符合招标项目要求, 推广应用前景把握较准确、描述清楚，得</w:t>
            </w:r>
            <w:r>
              <w:rPr>
                <w:rFonts w:ascii="宋体" w:hAnsi="宋体" w:eastAsia="宋体" w:cs="宋体"/>
                <w:szCs w:val="21"/>
                <w14:ligatures w14:val="none"/>
              </w:rPr>
              <w:t>2.4</w:t>
            </w:r>
            <w:r>
              <w:rPr>
                <w:rFonts w:hint="eastAsia" w:ascii="宋体" w:hAnsi="宋体" w:eastAsia="宋体" w:cs="宋体"/>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Times New Roman"/>
                <w14:ligatures w14:val="none"/>
              </w:rPr>
              <w:t>2.2.4(</w:t>
            </w:r>
            <w:r>
              <w:rPr>
                <w:rFonts w:ascii="宋体" w:hAnsi="宋体" w:eastAsia="宋体" w:cs="Times New Roman"/>
                <w14:ligatures w14:val="none"/>
              </w:rPr>
              <w:t>2</w:t>
            </w:r>
            <w:r>
              <w:rPr>
                <w:rFonts w:hint="eastAsia" w:ascii="宋体" w:hAnsi="宋体" w:eastAsia="宋体" w:cs="Times New Roman"/>
                <w14:ligatures w14:val="none"/>
              </w:rPr>
              <w:t>)</w:t>
            </w:r>
          </w:p>
        </w:tc>
        <w:tc>
          <w:tcPr>
            <w:tcW w:w="516"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主要人员</w:t>
            </w:r>
          </w:p>
        </w:tc>
        <w:tc>
          <w:tcPr>
            <w:tcW w:w="618"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20分</w:t>
            </w:r>
          </w:p>
        </w:tc>
        <w:tc>
          <w:tcPr>
            <w:tcW w:w="7371" w:type="dxa"/>
            <w:gridSpan w:val="3"/>
            <w:vAlign w:val="center"/>
          </w:tcPr>
          <w:p>
            <w:pPr>
              <w:spacing w:line="300" w:lineRule="exact"/>
              <w:rPr>
                <w:rFonts w:ascii="宋体" w:hAnsi="宋体" w:eastAsia="宋体" w:cs="Times New Roman"/>
                <w:szCs w:val="21"/>
                <w14:ligatures w14:val="none"/>
              </w:rPr>
            </w:pPr>
            <w:r>
              <w:rPr>
                <w:rFonts w:hint="eastAsia" w:ascii="宋体" w:hAnsi="宋体" w:eastAsia="宋体" w:cs="Times New Roman"/>
                <w:kern w:val="0"/>
                <w:sz w:val="20"/>
                <w:szCs w:val="21"/>
                <w14:ligatures w14:val="none"/>
              </w:rPr>
              <w:t>项</w:t>
            </w:r>
            <w:r>
              <w:rPr>
                <w:rFonts w:hint="eastAsia" w:ascii="宋体" w:hAnsi="宋体" w:eastAsia="宋体" w:cs="Times New Roman"/>
                <w:szCs w:val="21"/>
                <w14:ligatures w14:val="none"/>
              </w:rPr>
              <w:t>目负责人满足资格审查条件（项目负责人最低要求）得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pacing w:line="300" w:lineRule="exact"/>
              <w:rPr>
                <w:rFonts w:ascii="宋体" w:hAnsi="宋体" w:eastAsia="宋体" w:cs="Times New Roman"/>
                <w:kern w:val="0"/>
                <w:sz w:val="20"/>
                <w:szCs w:val="21"/>
                <w14:ligatures w14:val="none"/>
              </w:rPr>
            </w:pPr>
            <w:r>
              <w:rPr>
                <w:rFonts w:hint="eastAsia" w:ascii="宋体" w:hAnsi="宋体" w:eastAsia="宋体" w:cs="Times New Roman"/>
                <w:szCs w:val="21"/>
                <w14:ligatures w14:val="none"/>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eastAsia="宋体" w:cs="Times New Roman"/>
                <w14:ligatures w14:val="none"/>
              </w:rPr>
            </w:pPr>
            <w:r>
              <w:rPr>
                <w:rFonts w:hint="eastAsia" w:ascii="宋体" w:hAnsi="宋体" w:eastAsia="宋体" w:cs="Times New Roman"/>
                <w14:ligatures w14:val="none"/>
              </w:rPr>
              <w:t>2.2.4(</w:t>
            </w:r>
            <w:r>
              <w:rPr>
                <w:rFonts w:ascii="宋体" w:hAnsi="宋体" w:eastAsia="宋体" w:cs="Times New Roman"/>
                <w14:ligatures w14:val="none"/>
              </w:rPr>
              <w:t>3</w:t>
            </w:r>
            <w:r>
              <w:rPr>
                <w:rFonts w:hint="eastAsia" w:ascii="宋体" w:hAnsi="宋体" w:eastAsia="宋体" w:cs="Times New Roman"/>
                <w14:ligatures w14:val="none"/>
              </w:rPr>
              <w:t>)</w:t>
            </w:r>
          </w:p>
        </w:tc>
        <w:tc>
          <w:tcPr>
            <w:tcW w:w="516" w:type="dxa"/>
            <w:vAlign w:val="center"/>
          </w:tcPr>
          <w:p>
            <w:pPr>
              <w:autoSpaceDE w:val="0"/>
              <w:autoSpaceDN w:val="0"/>
              <w:spacing w:line="360" w:lineRule="exact"/>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评标价</w:t>
            </w:r>
          </w:p>
        </w:tc>
        <w:tc>
          <w:tcPr>
            <w:tcW w:w="618" w:type="dxa"/>
            <w:vAlign w:val="center"/>
          </w:tcPr>
          <w:p>
            <w:pPr>
              <w:autoSpaceDE w:val="0"/>
              <w:autoSpaceDN w:val="0"/>
              <w:spacing w:line="192" w:lineRule="exact"/>
              <w:ind w:left="2" w:right="2"/>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10分</w:t>
            </w:r>
          </w:p>
        </w:tc>
        <w:tc>
          <w:tcPr>
            <w:tcW w:w="7371" w:type="dxa"/>
            <w:gridSpan w:val="3"/>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（1）如果投标人的评标价＞评标基准价，则评标价得分=F-偏差率×100×E1；</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（2）如果投标人的评标价≤评标基准价，则评标价得分=F+偏差率×100×E2。</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eastAsia="宋体" w:cs="Times New Roman"/>
                <w14:ligatures w14:val="none"/>
              </w:rPr>
            </w:pPr>
            <w:r>
              <w:rPr>
                <w:rFonts w:hint="eastAsia" w:ascii="宋体" w:hAnsi="宋体" w:eastAsia="宋体" w:cs="Times New Roman"/>
                <w14:ligatures w14:val="none"/>
              </w:rPr>
              <w:t>2.2.4(</w:t>
            </w:r>
            <w:r>
              <w:rPr>
                <w:rFonts w:ascii="宋体" w:hAnsi="宋体" w:eastAsia="宋体" w:cs="Times New Roman"/>
                <w14:ligatures w14:val="none"/>
              </w:rPr>
              <w:t>4</w:t>
            </w:r>
            <w:r>
              <w:rPr>
                <w:rFonts w:hint="eastAsia" w:ascii="宋体" w:hAnsi="宋体" w:eastAsia="宋体" w:cs="Times New Roman"/>
                <w14:ligatures w14:val="none"/>
              </w:rPr>
              <w:t>)</w:t>
            </w:r>
          </w:p>
        </w:tc>
        <w:tc>
          <w:tcPr>
            <w:tcW w:w="516"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其他因素</w:t>
            </w:r>
          </w:p>
        </w:tc>
        <w:tc>
          <w:tcPr>
            <w:tcW w:w="618"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业绩</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7371" w:type="dxa"/>
            <w:gridSpan w:val="3"/>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投标人满足资格审查条件（业绩最低要求）得</w:t>
            </w:r>
            <w:r>
              <w:rPr>
                <w:rFonts w:ascii="宋体" w:hAnsi="宋体" w:eastAsia="宋体" w:cs="Times New Roman"/>
                <w:szCs w:val="21"/>
                <w14:ligatures w14:val="none"/>
              </w:rPr>
              <w:t>15</w:t>
            </w:r>
            <w:r>
              <w:rPr>
                <w:rFonts w:hint="eastAsia" w:ascii="宋体" w:hAnsi="宋体" w:eastAsia="宋体" w:cs="Times New Roman"/>
                <w:szCs w:val="21"/>
                <w14:ligatures w14:val="none"/>
              </w:rPr>
              <w:t>分。</w:t>
            </w:r>
          </w:p>
          <w:p>
            <w:pPr>
              <w:autoSpaceDE w:val="0"/>
              <w:autoSpaceDN w:val="0"/>
              <w:spacing w:line="360" w:lineRule="exact"/>
              <w:ind w:left="11" w:right="150"/>
              <w:rPr>
                <w:rFonts w:ascii="宋体" w:hAnsi="宋体" w:eastAsia="宋体" w:cs="Times New Roman"/>
                <w:szCs w:val="21"/>
                <w14:ligatures w14:val="none"/>
              </w:rPr>
            </w:pPr>
            <w:r>
              <w:rPr>
                <w:rFonts w:hint="eastAsia" w:ascii="宋体" w:hAnsi="宋体" w:eastAsia="宋体" w:cs="宋体"/>
                <w:kern w:val="0"/>
                <w:szCs w:val="21"/>
                <w14:ligatures w14:val="none"/>
              </w:rPr>
              <w:t>投标人</w:t>
            </w:r>
            <w:r>
              <w:rPr>
                <w:rFonts w:hint="eastAsia" w:ascii="宋体" w:hAnsi="宋体" w:eastAsia="宋体" w:cs="Times New Roman"/>
                <w:szCs w:val="21"/>
                <w14:ligatures w14:val="none"/>
              </w:rPr>
              <w:t>每增加一项满足资格审查条件（业绩最低要求）的业绩加</w:t>
            </w:r>
            <w:r>
              <w:rPr>
                <w:rFonts w:ascii="宋体" w:hAnsi="宋体" w:eastAsia="宋体" w:cs="Times New Roman"/>
                <w:szCs w:val="21"/>
                <w14:ligatures w14:val="none"/>
              </w:rPr>
              <w:t>5</w:t>
            </w:r>
            <w:r>
              <w:rPr>
                <w:rFonts w:hint="eastAsia" w:ascii="宋体" w:hAnsi="宋体" w:eastAsia="宋体" w:cs="Times New Roman"/>
                <w:szCs w:val="21"/>
                <w14:ligatures w14:val="none"/>
              </w:rPr>
              <w:t>分，最多加</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tc>
      </w:tr>
      <w:bookmarkEnd w:id="1"/>
      <w:bookmarkEnd w:id="2"/>
    </w:tbl>
    <w:p>
      <w:pPr>
        <w:rPr>
          <w:rFonts w:ascii="宋体" w:hAnsi="宋体" w:eastAsia="宋体" w:cs="Times New Roman"/>
          <w:kern w:val="0"/>
          <w:sz w:val="20"/>
          <w:szCs w:val="20"/>
          <w14:ligatures w14:val="none"/>
        </w:rPr>
      </w:pPr>
      <w:bookmarkStart w:id="10" w:name="_Hlk71130285"/>
      <w:r>
        <w:rPr>
          <w:rFonts w:hint="eastAsia" w:ascii="宋体" w:hAnsi="宋体" w:eastAsia="宋体" w:cs="Times New Roman"/>
          <w:kern w:val="0"/>
          <w:sz w:val="20"/>
          <w:szCs w:val="20"/>
          <w14:ligatures w14:val="none"/>
        </w:rPr>
        <w:t>注：</w:t>
      </w:r>
      <w:bookmarkEnd w:id="10"/>
      <w:r>
        <w:rPr>
          <w:rFonts w:hint="eastAsia" w:ascii="宋体" w:hAnsi="宋体" w:eastAsia="宋体" w:cs="Times New Roman"/>
          <w:kern w:val="0"/>
          <w:sz w:val="20"/>
          <w:szCs w:val="20"/>
          <w14:ligatures w14:val="none"/>
        </w:rPr>
        <w:t>（1）技术建议书以评标委员会各成员的打分平均值确定；评委打分保留小数点后1位，汇总得分保留小数点后两位。</w:t>
      </w:r>
    </w:p>
    <w:p>
      <w:r>
        <w:rPr>
          <w:rFonts w:hint="eastAsia" w:ascii="宋体" w:hAnsi="宋体" w:eastAsia="宋体" w:cs="Times New Roman"/>
          <w:kern w:val="0"/>
          <w:sz w:val="20"/>
          <w:szCs w:val="20"/>
          <w14:ligatures w14:val="none"/>
        </w:rPr>
        <w:t>（2）技术建议书评审因素缺项则该项得0分。</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843A47"/>
    <w:rsid w:val="00843A47"/>
    <w:rsid w:val="00E7795B"/>
    <w:rsid w:val="6EC8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991</Words>
  <Characters>5654</Characters>
  <Lines>47</Lines>
  <Paragraphs>13</Paragraphs>
  <TotalTime>1</TotalTime>
  <ScaleCrop>false</ScaleCrop>
  <LinksUpToDate>false</LinksUpToDate>
  <CharactersWithSpaces>6632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2023-09-21T14:29:00Z</dcterms:created>
  <dc:creator>帆 齐</dc:creator>
  <cp:lastModifiedBy>李娜</cp:lastModifiedBy>
  <dcterms:modified xsi:type="dcterms:W3CDTF">2023-09-22T00:40:56Z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88E8769E1ECB40C5BBC6D1A0B98A28B9_12</vt:lpwstr>
  </property>
</Properties>
</file>