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56" w:beforeLines="50" w:after="156" w:afterLines="50" w:line="240" w:lineRule="auto"/>
      </w:pPr>
      <w:bookmarkStart w:id="0" w:name="_Toc143184533"/>
      <w:bookmarkStart w:id="1" w:name="_Toc142246825"/>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bookmarkEnd w:id="1"/>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szCs w:val="21"/>
              </w:rPr>
              <w:t>近5年（</w:t>
            </w:r>
            <w:r>
              <w:rPr>
                <w:rFonts w:hint="eastAsia" w:ascii="宋体" w:hAnsi="宋体"/>
                <w:kern w:val="0"/>
                <w:szCs w:val="21"/>
              </w:rPr>
              <w:t>2018年9月1日至投标截止时间</w:t>
            </w:r>
            <w:r>
              <w:rPr>
                <w:rFonts w:hint="eastAsia" w:ascii="宋体" w:hAnsi="宋体"/>
                <w:szCs w:val="21"/>
              </w:rPr>
              <w:t>，以合同签订时间为准）至少完成过1项电子或信息工程（含通信、广电、信息化）或公路机电工程的项目建议书编制或预可研编制或工程可行性研究报告编制业绩。</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投标人在过去1年中（2022年9月1日至投标截止时间）不曾在高速公路合同中违约而被驱逐或因投标人自身的原因而使合同被解除。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高级工程师或等同于高级工程师职称级别；</w:t>
            </w:r>
          </w:p>
          <w:p>
            <w:pPr>
              <w:snapToGrid w:val="0"/>
              <w:spacing w:line="360" w:lineRule="exact"/>
              <w:rPr>
                <w:rFonts w:ascii="宋体" w:hAnsi="宋体"/>
                <w:szCs w:val="21"/>
              </w:rPr>
            </w:pPr>
            <w:r>
              <w:rPr>
                <w:rFonts w:hint="eastAsia" w:ascii="宋体" w:hAnsi="宋体"/>
                <w:szCs w:val="21"/>
              </w:rPr>
              <w:t>近5年（</w:t>
            </w:r>
            <w:r>
              <w:rPr>
                <w:rFonts w:hint="eastAsia" w:ascii="宋体" w:hAnsi="宋体"/>
                <w:kern w:val="0"/>
                <w:szCs w:val="21"/>
              </w:rPr>
              <w:t>2018年9月1日至投标截止时间</w:t>
            </w:r>
            <w:r>
              <w:rPr>
                <w:rFonts w:hint="eastAsia" w:ascii="宋体" w:hAnsi="宋体"/>
                <w:szCs w:val="21"/>
              </w:rPr>
              <w:t>，以合同签订时间为准）作为项目负责人或技术负责人负责过</w:t>
            </w:r>
            <w:r>
              <w:rPr>
                <w:rFonts w:hint="eastAsia" w:ascii="宋体" w:hAnsi="宋体"/>
                <w:kern w:val="0"/>
                <w:szCs w:val="21"/>
              </w:rPr>
              <w:t>1项电子或信息工程（含通信、广电、信息化）或公路机电工程的项目建议书编制或预可研编制或工程可行性研究报告编制工作。</w:t>
            </w:r>
          </w:p>
        </w:tc>
      </w:tr>
    </w:tbl>
    <w:p>
      <w:pPr>
        <w:rPr>
          <w:rFonts w:ascii="宋体" w:hAnsi="宋体"/>
          <w:sz w:val="24"/>
          <w:szCs w:val="24"/>
        </w:rPr>
      </w:pPr>
    </w:p>
    <w:p>
      <w:pPr>
        <w:pStyle w:val="4"/>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2" w:name="_Toc142246826"/>
      <w:bookmarkStart w:id="3" w:name="_Toc143184534"/>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2"/>
      <w:bookmarkEnd w:id="3"/>
    </w:p>
    <w:p>
      <w:pPr>
        <w:pStyle w:val="4"/>
        <w:snapToGrid w:val="0"/>
        <w:spacing w:before="120" w:after="120" w:line="240" w:lineRule="auto"/>
        <w:rPr>
          <w:sz w:val="24"/>
          <w:szCs w:val="24"/>
        </w:rPr>
      </w:pPr>
      <w:bookmarkStart w:id="4" w:name="_Toc65857110"/>
      <w:bookmarkStart w:id="5" w:name="_Toc138793770"/>
      <w:bookmarkStart w:id="6" w:name="_Toc143184535"/>
      <w:bookmarkStart w:id="7" w:name="_Toc142246827"/>
      <w:bookmarkStart w:id="8" w:name="_Toc65820978"/>
      <w:bookmarkStart w:id="9" w:name="_Toc66984522"/>
      <w:bookmarkStart w:id="10" w:name="_Toc66337244"/>
      <w:r>
        <w:rPr>
          <w:rFonts w:hint="eastAsia"/>
          <w:sz w:val="24"/>
          <w:szCs w:val="24"/>
        </w:rPr>
        <w:t>评标办法前附表</w:t>
      </w:r>
      <w:bookmarkEnd w:id="4"/>
      <w:bookmarkEnd w:id="5"/>
      <w:bookmarkEnd w:id="6"/>
      <w:bookmarkEnd w:id="7"/>
      <w:bookmarkEnd w:id="8"/>
      <w:bookmarkEnd w:id="9"/>
      <w:bookmarkEnd w:id="10"/>
    </w:p>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8" w:type="dxa"/>
            <w:gridSpan w:val="3"/>
            <w:vAlign w:val="center"/>
          </w:tcPr>
          <w:p>
            <w:pPr>
              <w:jc w:val="center"/>
              <w:rPr>
                <w:rFonts w:ascii="宋体" w:hAnsi="宋体"/>
              </w:rPr>
            </w:pPr>
            <w:bookmarkStart w:id="12" w:name="_GoBack"/>
            <w:r>
              <w:rPr>
                <w:rFonts w:hint="eastAsia" w:ascii="宋体" w:hAnsi="宋体"/>
              </w:rPr>
              <w:t>条款号</w:t>
            </w:r>
          </w:p>
        </w:tc>
        <w:tc>
          <w:tcPr>
            <w:tcW w:w="7648" w:type="dxa"/>
            <w:gridSpan w:val="2"/>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85" w:hRule="atLeast"/>
          <w:jc w:val="center"/>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gridSpan w:val="2"/>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6" w:hRule="atLeast"/>
          <w:jc w:val="center"/>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gridSpan w:val="2"/>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形式提交，应满足招标文件“第二章 投标人须知前附表”3.4.1款要求；</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c.若投标保证金采用银行保函形式提交，应满足招标文件“第二章 投标人须知前附表”3.4.1款要求。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d．若投标保证金采用保证保险或担保保函形式提交，应满足招标文件“第二章 投标人须知前附表”3.4.1款要求。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a．投标函按招标文件规定填报了招标人名称、项目名称、补遗书编号（如有）、投标价（包括大写金额&lt;如有</w:t>
            </w:r>
            <w:r>
              <w:rPr>
                <w:rFonts w:ascii="宋体" w:hAnsi="宋体"/>
                <w:szCs w:val="21"/>
              </w:rPr>
              <w:t>&gt;</w:t>
            </w:r>
            <w:r>
              <w:rPr>
                <w:rFonts w:hint="eastAsia" w:ascii="宋体" w:hAnsi="宋体"/>
                <w:szCs w:val="21"/>
              </w:rPr>
              <w:t>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）投标报价中报价的大写金额（如有）能够确定具体数值。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
                <w:szCs w:val="21"/>
              </w:rPr>
            </w:pPr>
            <w:r>
              <w:rPr>
                <w:rFonts w:hint="eastAsia" w:ascii="宋体" w:hAnsi="宋体"/>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63" w:hRule="atLeast"/>
          <w:jc w:val="center"/>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gridSpan w:val="2"/>
            <w:vAlign w:val="center"/>
          </w:tcPr>
          <w:p>
            <w:pPr>
              <w:tabs>
                <w:tab w:val="left" w:pos="3060"/>
              </w:tabs>
              <w:spacing w:line="36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、组织机构代码证（三证合一的除外）、资质证书和基本账户开户许可证（或基本存款账户信息）；</w:t>
            </w:r>
          </w:p>
          <w:p>
            <w:pPr>
              <w:tabs>
                <w:tab w:val="left" w:pos="3060"/>
              </w:tabs>
              <w:spacing w:line="360" w:lineRule="exact"/>
              <w:ind w:firstLine="105" w:firstLineChars="50"/>
              <w:rPr>
                <w:rFonts w:ascii="宋体" w:hAnsi="宋体"/>
                <w:szCs w:val="21"/>
              </w:rPr>
            </w:pPr>
            <w:r>
              <w:rPr>
                <w:rFonts w:hint="eastAsia" w:ascii="宋体" w:hAnsi="宋体"/>
                <w:szCs w:val="21"/>
              </w:rPr>
              <w:t>（2）投标人的类似项目业绩符合招标文件规定；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）投标人的项目负责人资格符合招标文件规定；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gridSpan w:val="2"/>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gridSpan w:val="2"/>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gridSpan w:val="2"/>
            <w:vAlign w:val="center"/>
          </w:tcPr>
          <w:p>
            <w:pPr>
              <w:jc w:val="left"/>
              <w:rPr>
                <w:rFonts w:ascii="宋体" w:hAnsi="宋体"/>
              </w:rPr>
            </w:pPr>
            <w:r>
              <w:rPr>
                <w:rFonts w:hint="eastAsia" w:ascii="宋体" w:hAnsi="宋体"/>
              </w:rPr>
              <w:t>偏差率=投标人评标价-评标基准价</w:t>
            </w:r>
          </w:p>
          <w:p>
            <w:pPr>
              <w:jc w:val="left"/>
              <w:rPr>
                <w:rFonts w:ascii="宋体" w:hAnsi="宋体"/>
              </w:rPr>
            </w:pPr>
            <w:r>
              <w:rPr>
                <w:rFonts w:hint="eastAsia" w:ascii="宋体" w:hAnsi="宋体"/>
              </w:rPr>
              <w:t>偏差率保留小数点后两位。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gridSpan w:val="2"/>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银行保函（电子）、电子保函或电子保证保险进行验证。如投标人未提供银行保函（电子）、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06" w:type="dxa"/>
            <w:gridSpan w:val="5"/>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bookmarkEnd w:id="12"/>
    </w:tbl>
    <w:p/>
    <w:p>
      <w:pPr>
        <w:jc w:val="right"/>
      </w:pPr>
      <w:r>
        <w:br w:type="page"/>
      </w:r>
      <w:r>
        <w:rPr>
          <w:rFonts w:hint="eastAsia"/>
        </w:rPr>
        <w:t>续上表</w:t>
      </w:r>
    </w:p>
    <w:tbl>
      <w:tblPr>
        <w:tblStyle w:val="6"/>
        <w:tblW w:w="94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2410"/>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3"/>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4"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r>
              <w:rPr>
                <w:rFonts w:hint="eastAsia" w:ascii="宋体" w:hAnsi="宋体" w:cs="宋体"/>
                <w:kern w:val="0"/>
                <w:szCs w:val="21"/>
              </w:rPr>
              <w:t>分）</w:t>
            </w:r>
          </w:p>
        </w:tc>
        <w:tc>
          <w:tcPr>
            <w:tcW w:w="2410" w:type="dxa"/>
            <w:tcBorders>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szCs w:val="21"/>
              </w:rPr>
              <w:t>对本项目的特点、关键技术问题的认识及其对策措施（1</w:t>
            </w:r>
            <w:r>
              <w:rPr>
                <w:rFonts w:ascii="宋体" w:hAnsi="宋体"/>
                <w:szCs w:val="21"/>
              </w:rPr>
              <w:t>5</w:t>
            </w:r>
            <w:r>
              <w:rPr>
                <w:rFonts w:hint="eastAsia" w:ascii="宋体" w:hAnsi="宋体"/>
                <w:szCs w:val="21"/>
              </w:rPr>
              <w:t>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szCs w:val="21"/>
              </w:rPr>
              <w:t>项目的特点针对性强，关键技术问题对策明确、合理，技术建议科学、有效、可行，得12.</w:t>
            </w:r>
            <w:r>
              <w:rPr>
                <w:rFonts w:ascii="宋体" w:hAnsi="宋体" w:cs="宋体"/>
                <w:szCs w:val="21"/>
              </w:rPr>
              <w:t>0</w:t>
            </w:r>
            <w:r>
              <w:rPr>
                <w:rFonts w:hint="eastAsia" w:ascii="宋体" w:hAnsi="宋体" w:cs="宋体"/>
                <w:szCs w:val="21"/>
              </w:rPr>
              <w:t>（不含）-15</w:t>
            </w:r>
            <w:r>
              <w:rPr>
                <w:rFonts w:ascii="宋体" w:hAnsi="宋体" w:cs="宋体"/>
                <w:szCs w:val="21"/>
              </w:rPr>
              <w:t>.0</w:t>
            </w:r>
            <w:r>
              <w:rPr>
                <w:rFonts w:hint="eastAsia" w:ascii="宋体" w:hAnsi="宋体" w:cs="宋体"/>
                <w:szCs w:val="21"/>
              </w:rPr>
              <w:t>（含）分；</w:t>
            </w:r>
          </w:p>
          <w:p>
            <w:pPr>
              <w:jc w:val="left"/>
              <w:rPr>
                <w:rFonts w:ascii="宋体" w:hAnsi="宋体" w:cs="宋体"/>
                <w:szCs w:val="21"/>
              </w:rPr>
            </w:pPr>
            <w:r>
              <w:rPr>
                <w:rFonts w:hint="eastAsia" w:ascii="宋体" w:hAnsi="宋体" w:cs="宋体"/>
                <w:szCs w:val="21"/>
              </w:rPr>
              <w:t>项目的特点和关键技术问题针对性较强，技术建议可行，得9.</w:t>
            </w:r>
            <w:r>
              <w:rPr>
                <w:rFonts w:ascii="宋体" w:hAnsi="宋体" w:cs="宋体"/>
                <w:szCs w:val="21"/>
              </w:rPr>
              <w:t>0</w:t>
            </w:r>
            <w:r>
              <w:rPr>
                <w:rFonts w:hint="eastAsia" w:ascii="宋体" w:hAnsi="宋体" w:cs="宋体"/>
                <w:szCs w:val="21"/>
              </w:rPr>
              <w:t>（不含）-1</w:t>
            </w:r>
            <w:r>
              <w:rPr>
                <w:rFonts w:ascii="宋体" w:hAnsi="宋体" w:cs="宋体"/>
                <w:szCs w:val="21"/>
              </w:rPr>
              <w:t>2.0</w:t>
            </w:r>
            <w:r>
              <w:rPr>
                <w:rFonts w:hint="eastAsia" w:ascii="宋体" w:hAnsi="宋体" w:cs="宋体"/>
                <w:szCs w:val="21"/>
              </w:rPr>
              <w:t>（含）分；</w:t>
            </w:r>
          </w:p>
          <w:p>
            <w:pPr>
              <w:jc w:val="left"/>
              <w:rPr>
                <w:rFonts w:ascii="宋体" w:hAnsi="宋体"/>
                <w:szCs w:val="21"/>
              </w:rPr>
            </w:pPr>
            <w:r>
              <w:rPr>
                <w:rFonts w:hint="eastAsia" w:ascii="宋体" w:hAnsi="宋体" w:cs="宋体"/>
                <w:szCs w:val="21"/>
              </w:rPr>
              <w:t>项目的特点和关键技术问题的针对性一般，技术建议基本可行，得9</w:t>
            </w:r>
            <w:r>
              <w:rPr>
                <w:rFonts w:ascii="宋体" w:hAnsi="宋体" w:cs="宋体"/>
                <w:szCs w:val="21"/>
              </w:rPr>
              <w:t>.0</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2"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tcBorders>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szCs w:val="21"/>
              </w:rPr>
              <w:t>工作量及计划安排（1</w:t>
            </w:r>
            <w:r>
              <w:rPr>
                <w:rFonts w:ascii="宋体" w:hAnsi="宋体"/>
                <w:szCs w:val="21"/>
              </w:rPr>
              <w:t>5</w:t>
            </w:r>
            <w:r>
              <w:rPr>
                <w:rFonts w:hint="eastAsia" w:ascii="宋体" w:hAnsi="宋体"/>
                <w:szCs w:val="21"/>
              </w:rPr>
              <w:t>分）</w:t>
            </w:r>
          </w:p>
        </w:tc>
        <w:tc>
          <w:tcPr>
            <w:tcW w:w="4961" w:type="dxa"/>
            <w:tcBorders>
              <w:left w:val="single" w:color="auto" w:sz="4" w:space="0"/>
            </w:tcBorders>
            <w:vAlign w:val="center"/>
          </w:tcPr>
          <w:p>
            <w:pPr>
              <w:pStyle w:val="5"/>
              <w:snapToGrid w:val="0"/>
              <w:jc w:val="left"/>
              <w:rPr>
                <w:rFonts w:hAnsi="宋体" w:cs="宋体"/>
                <w:kern w:val="2"/>
                <w:sz w:val="21"/>
                <w:szCs w:val="21"/>
              </w:rPr>
            </w:pPr>
            <w:r>
              <w:rPr>
                <w:rFonts w:hint="eastAsia" w:hAnsi="宋体" w:cs="宋体"/>
                <w:kern w:val="2"/>
                <w:sz w:val="21"/>
                <w:szCs w:val="21"/>
              </w:rPr>
              <w:t>工作量及计划安排科学，安排周密，得</w:t>
            </w:r>
            <w:r>
              <w:rPr>
                <w:rFonts w:hAnsi="宋体" w:cs="宋体"/>
                <w:kern w:val="2"/>
                <w:sz w:val="21"/>
                <w:szCs w:val="21"/>
              </w:rPr>
              <w:t>12</w:t>
            </w:r>
            <w:r>
              <w:rPr>
                <w:rFonts w:hint="eastAsia" w:hAnsi="宋体" w:cs="宋体"/>
                <w:kern w:val="2"/>
                <w:sz w:val="21"/>
                <w:szCs w:val="21"/>
              </w:rPr>
              <w:t>.</w:t>
            </w:r>
            <w:r>
              <w:rPr>
                <w:rFonts w:hAnsi="宋体" w:cs="宋体"/>
                <w:kern w:val="2"/>
                <w:sz w:val="21"/>
                <w:szCs w:val="21"/>
              </w:rPr>
              <w:t>0</w:t>
            </w:r>
            <w:r>
              <w:rPr>
                <w:rFonts w:hint="eastAsia" w:hAnsi="宋体" w:cs="宋体"/>
                <w:kern w:val="2"/>
                <w:sz w:val="21"/>
                <w:szCs w:val="21"/>
              </w:rPr>
              <w:t>（不含）</w:t>
            </w:r>
            <w:r>
              <w:rPr>
                <w:rFonts w:hAnsi="宋体" w:cs="宋体"/>
                <w:kern w:val="2"/>
                <w:sz w:val="21"/>
                <w:szCs w:val="21"/>
              </w:rPr>
              <w:t>-</w:t>
            </w:r>
            <w:r>
              <w:rPr>
                <w:rFonts w:hint="eastAsia" w:hAnsi="宋体" w:cs="宋体"/>
                <w:kern w:val="2"/>
                <w:sz w:val="21"/>
                <w:szCs w:val="21"/>
              </w:rPr>
              <w:t>1</w:t>
            </w:r>
            <w:r>
              <w:rPr>
                <w:rFonts w:hAnsi="宋体" w:cs="宋体"/>
                <w:kern w:val="2"/>
                <w:sz w:val="21"/>
                <w:szCs w:val="21"/>
              </w:rPr>
              <w:t>5</w:t>
            </w:r>
            <w:r>
              <w:rPr>
                <w:rFonts w:hint="eastAsia" w:hAnsi="宋体" w:cs="宋体"/>
                <w:kern w:val="2"/>
                <w:sz w:val="21"/>
                <w:szCs w:val="21"/>
              </w:rPr>
              <w:t>.</w:t>
            </w:r>
            <w:r>
              <w:rPr>
                <w:rFonts w:hAnsi="宋体" w:cs="宋体"/>
                <w:kern w:val="2"/>
                <w:sz w:val="21"/>
                <w:szCs w:val="21"/>
              </w:rPr>
              <w:t>0</w:t>
            </w:r>
            <w:r>
              <w:rPr>
                <w:rFonts w:hint="eastAsia" w:hAnsi="宋体" w:cs="宋体"/>
                <w:kern w:val="2"/>
                <w:sz w:val="21"/>
                <w:szCs w:val="21"/>
              </w:rPr>
              <w:t>（含）分；</w:t>
            </w:r>
          </w:p>
          <w:p>
            <w:pPr>
              <w:pStyle w:val="5"/>
              <w:snapToGrid w:val="0"/>
              <w:jc w:val="left"/>
              <w:rPr>
                <w:rFonts w:hAnsi="宋体" w:cs="宋体"/>
                <w:kern w:val="2"/>
                <w:sz w:val="21"/>
                <w:szCs w:val="21"/>
              </w:rPr>
            </w:pPr>
            <w:r>
              <w:rPr>
                <w:rFonts w:hint="eastAsia" w:hAnsi="宋体" w:cs="宋体"/>
                <w:kern w:val="2"/>
                <w:sz w:val="21"/>
                <w:szCs w:val="21"/>
              </w:rPr>
              <w:t>工作量及计划安排合理，得</w:t>
            </w:r>
            <w:r>
              <w:rPr>
                <w:rFonts w:hAnsi="宋体" w:cs="宋体"/>
                <w:kern w:val="2"/>
                <w:sz w:val="21"/>
                <w:szCs w:val="21"/>
              </w:rPr>
              <w:t>9</w:t>
            </w:r>
            <w:r>
              <w:rPr>
                <w:rFonts w:hint="eastAsia" w:hAnsi="宋体" w:cs="宋体"/>
                <w:kern w:val="2"/>
                <w:sz w:val="21"/>
                <w:szCs w:val="21"/>
              </w:rPr>
              <w:t>.</w:t>
            </w:r>
            <w:r>
              <w:rPr>
                <w:rFonts w:hAnsi="宋体" w:cs="宋体"/>
                <w:kern w:val="2"/>
                <w:sz w:val="21"/>
                <w:szCs w:val="21"/>
              </w:rPr>
              <w:t>0</w:t>
            </w:r>
            <w:r>
              <w:rPr>
                <w:rFonts w:hint="eastAsia" w:hAnsi="宋体" w:cs="宋体"/>
                <w:kern w:val="2"/>
                <w:sz w:val="21"/>
                <w:szCs w:val="21"/>
              </w:rPr>
              <w:t>（不含）-</w:t>
            </w:r>
            <w:r>
              <w:rPr>
                <w:rFonts w:hAnsi="宋体" w:cs="宋体"/>
                <w:kern w:val="2"/>
                <w:sz w:val="21"/>
                <w:szCs w:val="21"/>
              </w:rPr>
              <w:t>12.0</w:t>
            </w:r>
            <w:r>
              <w:rPr>
                <w:rFonts w:hint="eastAsia" w:hAnsi="宋体" w:cs="宋体"/>
                <w:kern w:val="2"/>
                <w:sz w:val="21"/>
                <w:szCs w:val="21"/>
              </w:rPr>
              <w:t>（含）分；</w:t>
            </w:r>
          </w:p>
          <w:p>
            <w:pPr>
              <w:pStyle w:val="5"/>
              <w:snapToGrid w:val="0"/>
              <w:jc w:val="left"/>
              <w:rPr>
                <w:rFonts w:hAnsi="宋体" w:cs="宋体"/>
                <w:kern w:val="2"/>
                <w:sz w:val="21"/>
                <w:szCs w:val="21"/>
              </w:rPr>
            </w:pPr>
            <w:r>
              <w:rPr>
                <w:rFonts w:hint="eastAsia" w:hAnsi="宋体" w:cs="宋体"/>
                <w:kern w:val="2"/>
                <w:sz w:val="21"/>
                <w:szCs w:val="21"/>
              </w:rPr>
              <w:t>工作量及计划安排基本合理，得</w:t>
            </w:r>
            <w:r>
              <w:rPr>
                <w:rFonts w:hAnsi="宋体" w:cs="宋体"/>
                <w:kern w:val="2"/>
                <w:sz w:val="21"/>
                <w:szCs w:val="21"/>
              </w:rPr>
              <w:t>9.0</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6"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tcBorders>
              <w:right w:val="single" w:color="auto" w:sz="4" w:space="0"/>
            </w:tcBorders>
            <w:vAlign w:val="center"/>
          </w:tcPr>
          <w:p>
            <w:pPr>
              <w:spacing w:line="320" w:lineRule="exact"/>
              <w:ind w:left="20"/>
              <w:jc w:val="left"/>
              <w:rPr>
                <w:rFonts w:ascii="宋体" w:hAnsi="宋体"/>
                <w:szCs w:val="21"/>
              </w:rPr>
            </w:pPr>
            <w:r>
              <w:rPr>
                <w:rFonts w:hint="eastAsia" w:ascii="宋体" w:hAnsi="宋体"/>
                <w:szCs w:val="21"/>
              </w:rPr>
              <w:t>质量保证措施、进度保证措施、安全保证措施（1</w:t>
            </w:r>
            <w:r>
              <w:rPr>
                <w:rFonts w:ascii="宋体" w:hAnsi="宋体"/>
                <w:szCs w:val="21"/>
              </w:rPr>
              <w:t>0</w:t>
            </w:r>
            <w:r>
              <w:rPr>
                <w:rFonts w:hint="eastAsia" w:ascii="宋体" w:hAnsi="宋体"/>
                <w:szCs w:val="21"/>
              </w:rPr>
              <w:t>分）</w:t>
            </w:r>
          </w:p>
        </w:tc>
        <w:tc>
          <w:tcPr>
            <w:tcW w:w="4961" w:type="dxa"/>
            <w:tcBorders>
              <w:left w:val="single" w:color="auto" w:sz="4" w:space="0"/>
            </w:tcBorders>
            <w:vAlign w:val="center"/>
          </w:tcPr>
          <w:p>
            <w:pPr>
              <w:pStyle w:val="5"/>
              <w:snapToGrid w:val="0"/>
              <w:jc w:val="left"/>
              <w:rPr>
                <w:rFonts w:hAnsi="宋体" w:cs="宋体"/>
                <w:kern w:val="2"/>
                <w:sz w:val="21"/>
                <w:szCs w:val="21"/>
              </w:rPr>
            </w:pPr>
            <w:r>
              <w:rPr>
                <w:rFonts w:hint="eastAsia" w:hAnsi="宋体" w:cs="宋体"/>
                <w:kern w:val="2"/>
                <w:sz w:val="21"/>
                <w:szCs w:val="21"/>
              </w:rPr>
              <w:t>质量、进度及安全保证措施具体可靠，可实施性强，适合本项目，得8.</w:t>
            </w:r>
            <w:r>
              <w:rPr>
                <w:rFonts w:hAnsi="宋体" w:cs="宋体"/>
                <w:kern w:val="2"/>
                <w:sz w:val="21"/>
                <w:szCs w:val="21"/>
              </w:rPr>
              <w:t>0</w:t>
            </w:r>
            <w:r>
              <w:rPr>
                <w:rFonts w:hint="eastAsia" w:hAnsi="宋体" w:cs="宋体"/>
                <w:kern w:val="2"/>
                <w:sz w:val="21"/>
                <w:szCs w:val="21"/>
              </w:rPr>
              <w:t>（不含）</w:t>
            </w:r>
            <w:r>
              <w:rPr>
                <w:rFonts w:hAnsi="宋体" w:cs="宋体"/>
                <w:kern w:val="2"/>
                <w:sz w:val="21"/>
                <w:szCs w:val="21"/>
              </w:rPr>
              <w:t>-</w:t>
            </w:r>
            <w:r>
              <w:rPr>
                <w:rFonts w:hint="eastAsia" w:hAnsi="宋体" w:cs="宋体"/>
                <w:kern w:val="2"/>
                <w:sz w:val="21"/>
                <w:szCs w:val="21"/>
              </w:rPr>
              <w:t>10</w:t>
            </w:r>
            <w:r>
              <w:rPr>
                <w:rFonts w:hAnsi="宋体" w:cs="宋体"/>
                <w:kern w:val="2"/>
                <w:sz w:val="21"/>
                <w:szCs w:val="21"/>
              </w:rPr>
              <w:t>.0</w:t>
            </w:r>
            <w:r>
              <w:rPr>
                <w:rFonts w:hint="eastAsia" w:hAnsi="宋体" w:cs="宋体"/>
                <w:kern w:val="2"/>
                <w:sz w:val="21"/>
                <w:szCs w:val="21"/>
              </w:rPr>
              <w:t>（含）分；</w:t>
            </w:r>
          </w:p>
          <w:p>
            <w:pPr>
              <w:pStyle w:val="5"/>
              <w:snapToGrid w:val="0"/>
              <w:jc w:val="left"/>
              <w:rPr>
                <w:rFonts w:hAnsi="宋体" w:cs="宋体"/>
                <w:kern w:val="2"/>
                <w:sz w:val="21"/>
                <w:szCs w:val="21"/>
              </w:rPr>
            </w:pPr>
            <w:r>
              <w:rPr>
                <w:rFonts w:hint="eastAsia" w:hAnsi="宋体" w:cs="宋体"/>
                <w:kern w:val="2"/>
                <w:sz w:val="21"/>
                <w:szCs w:val="21"/>
              </w:rPr>
              <w:t>质量、进度及安全保证措施较具体，可实施性较强，得6.</w:t>
            </w:r>
            <w:r>
              <w:rPr>
                <w:rFonts w:hAnsi="宋体" w:cs="宋体"/>
                <w:kern w:val="2"/>
                <w:sz w:val="21"/>
                <w:szCs w:val="21"/>
              </w:rPr>
              <w:t>0</w:t>
            </w:r>
            <w:r>
              <w:rPr>
                <w:rFonts w:hint="eastAsia" w:hAnsi="宋体" w:cs="宋体"/>
                <w:kern w:val="2"/>
                <w:sz w:val="21"/>
                <w:szCs w:val="21"/>
              </w:rPr>
              <w:t>（不含）</w:t>
            </w:r>
            <w:r>
              <w:rPr>
                <w:rFonts w:hAnsi="宋体" w:cs="宋体"/>
                <w:kern w:val="2"/>
                <w:sz w:val="21"/>
                <w:szCs w:val="21"/>
              </w:rPr>
              <w:t>-</w:t>
            </w:r>
            <w:r>
              <w:rPr>
                <w:rFonts w:hint="eastAsia" w:hAnsi="宋体" w:cs="宋体"/>
                <w:kern w:val="2"/>
                <w:sz w:val="21"/>
                <w:szCs w:val="21"/>
              </w:rPr>
              <w:t>8</w:t>
            </w:r>
            <w:r>
              <w:rPr>
                <w:rFonts w:hAnsi="宋体" w:cs="宋体"/>
                <w:kern w:val="2"/>
                <w:sz w:val="21"/>
                <w:szCs w:val="21"/>
              </w:rPr>
              <w:t>.0</w:t>
            </w:r>
            <w:r>
              <w:rPr>
                <w:rFonts w:hint="eastAsia" w:hAnsi="宋体" w:cs="宋体"/>
                <w:kern w:val="2"/>
                <w:sz w:val="21"/>
                <w:szCs w:val="21"/>
              </w:rPr>
              <w:t>（含）分；</w:t>
            </w:r>
          </w:p>
          <w:p>
            <w:pPr>
              <w:pStyle w:val="5"/>
              <w:snapToGrid w:val="0"/>
              <w:jc w:val="left"/>
              <w:rPr>
                <w:rFonts w:hAnsi="宋体" w:cs="宋体"/>
                <w:kern w:val="2"/>
                <w:sz w:val="21"/>
                <w:szCs w:val="21"/>
              </w:rPr>
            </w:pPr>
            <w:r>
              <w:rPr>
                <w:rFonts w:hint="eastAsia" w:hAnsi="宋体" w:cs="宋体"/>
                <w:kern w:val="2"/>
                <w:sz w:val="21"/>
                <w:szCs w:val="21"/>
              </w:rPr>
              <w:t>质量、进度及安全保证措施不够具体，可实施性一般，得6</w:t>
            </w:r>
            <w:r>
              <w:rPr>
                <w:rFonts w:hAnsi="宋体" w:cs="宋体"/>
                <w:kern w:val="2"/>
                <w:sz w:val="21"/>
                <w:szCs w:val="21"/>
              </w:rPr>
              <w:t>.0</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0"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tcBorders>
              <w:right w:val="single" w:color="auto" w:sz="4" w:space="0"/>
            </w:tcBorders>
            <w:vAlign w:val="center"/>
          </w:tcPr>
          <w:p>
            <w:pPr>
              <w:pStyle w:val="5"/>
              <w:snapToGrid w:val="0"/>
              <w:jc w:val="left"/>
              <w:rPr>
                <w:rFonts w:hAnsi="宋体"/>
                <w:kern w:val="2"/>
                <w:sz w:val="21"/>
                <w:szCs w:val="21"/>
              </w:rPr>
            </w:pPr>
            <w:r>
              <w:rPr>
                <w:rFonts w:hint="eastAsia" w:hAnsi="宋体"/>
                <w:kern w:val="2"/>
                <w:sz w:val="21"/>
                <w:szCs w:val="21"/>
              </w:rPr>
              <w:t>后续服务的承诺及保证措施（5分）</w:t>
            </w:r>
          </w:p>
        </w:tc>
        <w:tc>
          <w:tcPr>
            <w:tcW w:w="4961" w:type="dxa"/>
            <w:tcBorders>
              <w:left w:val="single" w:color="auto" w:sz="4" w:space="0"/>
            </w:tcBorders>
            <w:vAlign w:val="center"/>
          </w:tcPr>
          <w:p>
            <w:pPr>
              <w:pStyle w:val="5"/>
              <w:rPr>
                <w:rFonts w:hAnsi="宋体"/>
                <w:kern w:val="2"/>
                <w:sz w:val="21"/>
                <w:szCs w:val="21"/>
              </w:rPr>
            </w:pPr>
            <w:r>
              <w:rPr>
                <w:rFonts w:hint="eastAsia" w:hAnsi="宋体"/>
                <w:kern w:val="2"/>
                <w:sz w:val="21"/>
                <w:szCs w:val="21"/>
              </w:rPr>
              <w:t>投标人对于后续服务的承诺及保证措施安排完善合理，得</w:t>
            </w:r>
            <w:r>
              <w:rPr>
                <w:rFonts w:hAnsi="宋体"/>
                <w:kern w:val="2"/>
                <w:sz w:val="21"/>
                <w:szCs w:val="21"/>
              </w:rPr>
              <w:t>4</w:t>
            </w:r>
            <w:r>
              <w:rPr>
                <w:rFonts w:hint="eastAsia" w:hAnsi="宋体"/>
                <w:kern w:val="2"/>
                <w:sz w:val="21"/>
                <w:szCs w:val="21"/>
              </w:rPr>
              <w:t>.</w:t>
            </w:r>
            <w:r>
              <w:rPr>
                <w:rFonts w:hAnsi="宋体"/>
                <w:kern w:val="2"/>
                <w:sz w:val="21"/>
                <w:szCs w:val="21"/>
              </w:rPr>
              <w:t>0</w:t>
            </w:r>
            <w:r>
              <w:rPr>
                <w:rFonts w:hint="eastAsia" w:hAnsi="宋体" w:cs="宋体"/>
                <w:kern w:val="2"/>
                <w:sz w:val="21"/>
                <w:szCs w:val="21"/>
              </w:rPr>
              <w:t>（不含）</w:t>
            </w:r>
            <w:r>
              <w:rPr>
                <w:rFonts w:hint="eastAsia" w:hAnsi="宋体"/>
                <w:kern w:val="2"/>
                <w:sz w:val="21"/>
                <w:szCs w:val="21"/>
              </w:rPr>
              <w:t>-</w:t>
            </w:r>
            <w:r>
              <w:rPr>
                <w:rFonts w:hAnsi="宋体"/>
                <w:kern w:val="2"/>
                <w:sz w:val="21"/>
                <w:szCs w:val="21"/>
              </w:rPr>
              <w:t>5.0</w:t>
            </w:r>
            <w:r>
              <w:rPr>
                <w:rFonts w:hint="eastAsia" w:hAnsi="宋体" w:cs="宋体"/>
                <w:kern w:val="2"/>
                <w:sz w:val="21"/>
                <w:szCs w:val="21"/>
              </w:rPr>
              <w:t>（含）</w:t>
            </w:r>
            <w:r>
              <w:rPr>
                <w:rFonts w:hint="eastAsia" w:hAnsi="宋体"/>
                <w:kern w:val="2"/>
                <w:sz w:val="21"/>
                <w:szCs w:val="21"/>
              </w:rPr>
              <w:t>分；</w:t>
            </w:r>
          </w:p>
          <w:p>
            <w:pPr>
              <w:jc w:val="left"/>
              <w:rPr>
                <w:rFonts w:ascii="宋体" w:hAnsi="宋体"/>
                <w:szCs w:val="21"/>
              </w:rPr>
            </w:pPr>
            <w:r>
              <w:rPr>
                <w:rFonts w:hint="eastAsia" w:ascii="宋体" w:hAnsi="宋体"/>
                <w:szCs w:val="21"/>
              </w:rPr>
              <w:t>投标人对于后续服务的承诺及保证措施安排较完善，得</w:t>
            </w:r>
            <w:r>
              <w:rPr>
                <w:rFonts w:ascii="宋体" w:hAnsi="宋体"/>
                <w:szCs w:val="21"/>
              </w:rPr>
              <w:t>3</w:t>
            </w:r>
            <w:r>
              <w:rPr>
                <w:rFonts w:hint="eastAsia" w:ascii="宋体" w:hAnsi="宋体"/>
                <w:szCs w:val="21"/>
              </w:rPr>
              <w:t>.</w:t>
            </w:r>
            <w:r>
              <w:rPr>
                <w:rFonts w:ascii="宋体" w:hAnsi="宋体"/>
                <w:szCs w:val="21"/>
              </w:rPr>
              <w:t>0</w:t>
            </w:r>
            <w:r>
              <w:rPr>
                <w:rFonts w:hint="eastAsia" w:ascii="宋体" w:hAnsi="宋体" w:cs="宋体"/>
                <w:szCs w:val="21"/>
              </w:rPr>
              <w:t>（不含）</w:t>
            </w:r>
            <w:r>
              <w:rPr>
                <w:rFonts w:ascii="宋体" w:hAnsi="宋体"/>
                <w:szCs w:val="21"/>
              </w:rPr>
              <w:t>-4.0</w:t>
            </w:r>
            <w:r>
              <w:rPr>
                <w:rFonts w:hint="eastAsia" w:ascii="宋体" w:hAnsi="宋体" w:cs="宋体"/>
                <w:szCs w:val="21"/>
              </w:rPr>
              <w:t>（含）</w:t>
            </w:r>
            <w:r>
              <w:rPr>
                <w:rFonts w:hint="eastAsia" w:ascii="宋体" w:hAnsi="宋体"/>
                <w:szCs w:val="21"/>
              </w:rPr>
              <w:t>分；</w:t>
            </w:r>
          </w:p>
          <w:p>
            <w:pPr>
              <w:jc w:val="left"/>
              <w:rPr>
                <w:rFonts w:ascii="宋体" w:hAnsi="宋体"/>
                <w:szCs w:val="21"/>
              </w:rPr>
            </w:pPr>
            <w:r>
              <w:rPr>
                <w:rFonts w:hint="eastAsia" w:ascii="宋体" w:hAnsi="宋体"/>
                <w:szCs w:val="21"/>
              </w:rPr>
              <w:t>投标人对于后续服务的承诺及保证措施安排一般，得3</w:t>
            </w:r>
            <w:r>
              <w:rPr>
                <w:rFonts w:ascii="宋体" w:hAnsi="宋体"/>
                <w:szCs w:val="21"/>
              </w:rPr>
              <w:t>.0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jc w:val="center"/>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371" w:type="dxa"/>
            <w:gridSpan w:val="2"/>
            <w:vAlign w:val="center"/>
          </w:tcPr>
          <w:p>
            <w:pPr>
              <w:pStyle w:val="5"/>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5"/>
              <w:spacing w:line="300" w:lineRule="exact"/>
              <w:rPr>
                <w:rFonts w:hAnsi="宋体"/>
                <w:kern w:val="2"/>
                <w:sz w:val="21"/>
                <w:szCs w:val="21"/>
              </w:rPr>
            </w:pPr>
            <w:r>
              <w:rPr>
                <w:rFonts w:hint="eastAsia" w:hAnsi="宋体"/>
                <w:kern w:val="2"/>
                <w:sz w:val="21"/>
                <w:szCs w:val="21"/>
              </w:rPr>
              <w:t>项目负责人具有正高级或等同于正高级职称级别，加 4分；</w:t>
            </w:r>
          </w:p>
          <w:p>
            <w:pPr>
              <w:pStyle w:val="5"/>
              <w:spacing w:line="300" w:lineRule="exact"/>
              <w:rPr>
                <w:rFonts w:hAnsi="宋体"/>
                <w:szCs w:val="21"/>
              </w:rPr>
            </w:pPr>
            <w:r>
              <w:rPr>
                <w:rFonts w:hint="eastAsia" w:hAnsi="宋体"/>
                <w:kern w:val="2"/>
                <w:sz w:val="21"/>
                <w:szCs w:val="21"/>
              </w:rPr>
              <w:t>项目负责人每增加一项满足资格审查条件（项目负责人最低要求）的业绩加4分，最多加</w:t>
            </w:r>
            <w:r>
              <w:rPr>
                <w:rFonts w:hAnsi="宋体"/>
                <w:kern w:val="2"/>
                <w:sz w:val="21"/>
                <w:szCs w:val="21"/>
              </w:rPr>
              <w:t>4</w:t>
            </w:r>
            <w:r>
              <w:rPr>
                <w:rFonts w:hint="eastAsia" w:hAnsi="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25" w:hRule="exac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618"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371" w:type="dxa"/>
            <w:gridSpan w:val="2"/>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5"/>
              <w:spacing w:line="36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2"/>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每增加一项满足资格审查条件（业绩最低要求）的业绩加5分，最多加</w:t>
            </w:r>
            <w:r>
              <w:rPr>
                <w:rFonts w:ascii="宋体" w:hAnsi="宋体"/>
                <w:szCs w:val="21"/>
              </w:rPr>
              <w:t>10</w:t>
            </w:r>
            <w:r>
              <w:rPr>
                <w:rFonts w:hint="eastAsia" w:ascii="宋体" w:hAnsi="宋体"/>
                <w:szCs w:val="21"/>
              </w:rPr>
              <w:t>分。</w:t>
            </w:r>
          </w:p>
        </w:tc>
      </w:tr>
    </w:tbl>
    <w:p>
      <w:pPr>
        <w:rPr>
          <w:rFonts w:ascii="宋体" w:hAnsi="宋体"/>
          <w:kern w:val="0"/>
          <w:sz w:val="20"/>
          <w:szCs w:val="20"/>
        </w:rPr>
      </w:pPr>
      <w:bookmarkStart w:id="11" w:name="_Hlk71130285"/>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pPr>
        <w:ind w:firstLine="400" w:firstLineChars="200"/>
      </w:pPr>
      <w:r>
        <w:rPr>
          <w:rFonts w:hint="eastAsia" w:ascii="宋体" w:hAnsi="宋体"/>
          <w:kern w:val="0"/>
          <w:sz w:val="20"/>
          <w:szCs w:val="20"/>
        </w:rPr>
        <w:t>3、技术建议书评分时保留1位小数，评标价得分计算时保留两位小数。</w:t>
      </w:r>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D810B66"/>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Body Text 2"/>
    <w:basedOn w:val="1"/>
    <w:semiHidden/>
    <w:unhideWhenUsed/>
    <w:qFormat/>
    <w:uiPriority w:val="99"/>
    <w:pPr>
      <w:spacing w:after="120" w:line="480" w:lineRule="auto"/>
    </w:pPr>
  </w:style>
  <w:style w:type="paragraph" w:styleId="5">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2023-09-01T00:48:24Z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