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2"/>
        <w:rPr>
          <w:rStyle w:val="11"/>
          <w:rFonts w:hint="eastAsia" w:ascii="宋体" w:hAnsi="宋体" w:eastAsia="宋体" w:cs="仿宋"/>
          <w:b/>
          <w:color w:val="auto"/>
          <w:highlight w:val="none"/>
        </w:rPr>
      </w:pPr>
      <w:bookmarkStart w:id="1" w:name="_GoBack"/>
      <w:bookmarkEnd w:id="1"/>
      <w:r>
        <w:rPr>
          <w:rStyle w:val="11"/>
          <w:rFonts w:hint="eastAsia" w:ascii="宋体" w:hAnsi="宋体" w:eastAsia="宋体" w:cs="仿宋"/>
          <w:b/>
          <w:color w:val="auto"/>
          <w:highlight w:val="none"/>
        </w:rPr>
        <w:t>附件3 评标办法</w:t>
      </w:r>
    </w:p>
    <w:p>
      <w:pPr>
        <w:pStyle w:val="4"/>
        <w:snapToGrid w:val="0"/>
        <w:spacing w:before="120" w:after="120" w:line="240" w:lineRule="auto"/>
        <w:rPr>
          <w:rFonts w:hint="eastAsia" w:ascii="宋体" w:hAnsi="宋体" w:cs="仿宋"/>
          <w:color w:val="auto"/>
          <w:sz w:val="24"/>
          <w:szCs w:val="24"/>
          <w:highlight w:val="none"/>
        </w:rPr>
      </w:pPr>
      <w:bookmarkStart w:id="0" w:name="_Toc514824391"/>
      <w:r>
        <w:rPr>
          <w:rFonts w:hint="eastAsia" w:ascii="宋体" w:hAnsi="宋体" w:cs="仿宋"/>
          <w:color w:val="auto"/>
          <w:sz w:val="24"/>
          <w:szCs w:val="24"/>
          <w:highlight w:val="none"/>
        </w:rPr>
        <w:t>评标办法前附表</w:t>
      </w:r>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1"/>
        <w:gridCol w:w="140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2301" w:type="dxa"/>
            <w:gridSpan w:val="2"/>
            <w:noWrap w:val="0"/>
            <w:vAlign w:val="center"/>
          </w:tcPr>
          <w:p>
            <w:pPr>
              <w:pStyle w:val="7"/>
              <w:adjustRightInd w:val="0"/>
              <w:snapToGrid w:val="0"/>
              <w:spacing w:before="0" w:beforeAutospacing="0" w:after="0" w:afterAutospacing="0"/>
              <w:jc w:val="center"/>
              <w:rPr>
                <w:rFonts w:hint="eastAsia" w:cs="仿宋"/>
                <w:color w:val="auto"/>
                <w:sz w:val="21"/>
                <w:szCs w:val="21"/>
                <w:highlight w:val="none"/>
              </w:rPr>
            </w:pPr>
            <w:r>
              <w:rPr>
                <w:rFonts w:hint="eastAsia" w:cs="仿宋"/>
                <w:b/>
                <w:color w:val="auto"/>
                <w:sz w:val="21"/>
                <w:szCs w:val="21"/>
                <w:highlight w:val="none"/>
              </w:rPr>
              <w:t>条款号</w:t>
            </w:r>
          </w:p>
        </w:tc>
        <w:tc>
          <w:tcPr>
            <w:tcW w:w="7117" w:type="dxa"/>
            <w:noWrap w:val="0"/>
            <w:vAlign w:val="center"/>
          </w:tcPr>
          <w:p>
            <w:pPr>
              <w:pStyle w:val="7"/>
              <w:adjustRightInd w:val="0"/>
              <w:snapToGrid w:val="0"/>
              <w:spacing w:before="0" w:beforeAutospacing="0" w:after="0" w:afterAutospacing="0"/>
              <w:jc w:val="center"/>
              <w:rPr>
                <w:rFonts w:hint="eastAsia" w:cs="仿宋"/>
                <w:color w:val="auto"/>
                <w:sz w:val="21"/>
                <w:szCs w:val="21"/>
                <w:highlight w:val="none"/>
              </w:rPr>
            </w:pPr>
            <w:r>
              <w:rPr>
                <w:rFonts w:hint="eastAsia" w:cs="仿宋"/>
                <w:b/>
                <w:color w:val="auto"/>
                <w:sz w:val="21"/>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3" w:hRule="atLeast"/>
          <w:jc w:val="center"/>
        </w:trPr>
        <w:tc>
          <w:tcPr>
            <w:tcW w:w="901" w:type="dxa"/>
            <w:noWrap w:val="0"/>
            <w:vAlign w:val="center"/>
          </w:tcPr>
          <w:p>
            <w:pPr>
              <w:pStyle w:val="7"/>
              <w:adjustRightInd w:val="0"/>
              <w:snapToGrid w:val="0"/>
              <w:spacing w:before="0" w:beforeAutospacing="0" w:after="0" w:afterAutospacing="0"/>
              <w:jc w:val="center"/>
              <w:rPr>
                <w:rFonts w:hint="eastAsia" w:cs="仿宋"/>
                <w:color w:val="auto"/>
                <w:kern w:val="2"/>
                <w:sz w:val="21"/>
                <w:szCs w:val="21"/>
                <w:highlight w:val="none"/>
              </w:rPr>
            </w:pPr>
            <w:r>
              <w:rPr>
                <w:rFonts w:hint="eastAsia" w:cs="仿宋"/>
                <w:color w:val="auto"/>
                <w:kern w:val="2"/>
                <w:sz w:val="21"/>
                <w:szCs w:val="21"/>
                <w:highlight w:val="none"/>
              </w:rPr>
              <w:t>1</w:t>
            </w:r>
          </w:p>
        </w:tc>
        <w:tc>
          <w:tcPr>
            <w:tcW w:w="1400" w:type="dxa"/>
            <w:noWrap w:val="0"/>
            <w:vAlign w:val="center"/>
          </w:tcPr>
          <w:p>
            <w:pPr>
              <w:pStyle w:val="7"/>
              <w:adjustRightInd w:val="0"/>
              <w:snapToGrid w:val="0"/>
              <w:spacing w:before="0" w:beforeAutospacing="0" w:after="0" w:afterAutospacing="0"/>
              <w:jc w:val="center"/>
              <w:rPr>
                <w:rFonts w:hint="eastAsia" w:cs="仿宋"/>
                <w:color w:val="auto"/>
                <w:kern w:val="2"/>
                <w:sz w:val="21"/>
                <w:szCs w:val="21"/>
                <w:highlight w:val="none"/>
              </w:rPr>
            </w:pPr>
            <w:r>
              <w:rPr>
                <w:rFonts w:hint="eastAsia" w:cs="仿宋"/>
                <w:color w:val="auto"/>
                <w:kern w:val="2"/>
                <w:sz w:val="21"/>
                <w:szCs w:val="21"/>
                <w:highlight w:val="none"/>
              </w:rPr>
              <w:t>评标办法</w:t>
            </w:r>
          </w:p>
        </w:tc>
        <w:tc>
          <w:tcPr>
            <w:tcW w:w="7117"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（1）评标价低的投标人优先；</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（2）技术建议书得分较高的投标人优先；</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（3）投标人满足资格审查条件(业绩最低要求)的业绩累计金额高的优先。</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9" w:hRule="atLeast"/>
          <w:jc w:val="center"/>
        </w:trPr>
        <w:tc>
          <w:tcPr>
            <w:tcW w:w="901" w:type="dxa"/>
            <w:noWrap w:val="0"/>
            <w:vAlign w:val="center"/>
          </w:tcPr>
          <w:p>
            <w:pPr>
              <w:pStyle w:val="7"/>
              <w:adjustRightInd w:val="0"/>
              <w:snapToGrid w:val="0"/>
              <w:spacing w:before="0" w:beforeAutospacing="0" w:after="0" w:afterAutospacing="0"/>
              <w:jc w:val="center"/>
              <w:rPr>
                <w:rFonts w:hint="eastAsia" w:cs="仿宋"/>
                <w:color w:val="auto"/>
                <w:kern w:val="2"/>
                <w:sz w:val="21"/>
                <w:szCs w:val="21"/>
                <w:highlight w:val="none"/>
              </w:rPr>
            </w:pPr>
            <w:r>
              <w:rPr>
                <w:rFonts w:hint="eastAsia" w:cs="仿宋"/>
                <w:color w:val="auto"/>
                <w:kern w:val="2"/>
                <w:sz w:val="21"/>
                <w:szCs w:val="21"/>
                <w:highlight w:val="none"/>
              </w:rPr>
              <w:t>2.1.1</w:t>
            </w:r>
          </w:p>
          <w:p>
            <w:pPr>
              <w:pStyle w:val="7"/>
              <w:adjustRightInd w:val="0"/>
              <w:snapToGrid w:val="0"/>
              <w:spacing w:before="0" w:beforeAutospacing="0" w:after="0" w:afterAutospacing="0"/>
              <w:jc w:val="center"/>
              <w:rPr>
                <w:rFonts w:hint="eastAsia" w:cs="仿宋"/>
                <w:color w:val="auto"/>
                <w:kern w:val="2"/>
                <w:sz w:val="21"/>
                <w:szCs w:val="21"/>
                <w:highlight w:val="none"/>
              </w:rPr>
            </w:pPr>
            <w:r>
              <w:rPr>
                <w:rFonts w:hint="eastAsia" w:cs="仿宋"/>
                <w:color w:val="auto"/>
                <w:kern w:val="2"/>
                <w:sz w:val="21"/>
                <w:szCs w:val="21"/>
                <w:highlight w:val="none"/>
              </w:rPr>
              <w:t>2.1.3</w:t>
            </w:r>
          </w:p>
        </w:tc>
        <w:tc>
          <w:tcPr>
            <w:tcW w:w="1400" w:type="dxa"/>
            <w:noWrap w:val="0"/>
            <w:vAlign w:val="center"/>
          </w:tcPr>
          <w:p>
            <w:pPr>
              <w:pStyle w:val="7"/>
              <w:adjustRightInd w:val="0"/>
              <w:snapToGrid w:val="0"/>
              <w:spacing w:before="0" w:beforeAutospacing="0" w:after="0" w:afterAutospacing="0"/>
              <w:jc w:val="center"/>
              <w:rPr>
                <w:rFonts w:hint="eastAsia" w:cs="仿宋"/>
                <w:color w:val="auto"/>
                <w:kern w:val="2"/>
                <w:sz w:val="21"/>
                <w:szCs w:val="21"/>
                <w:highlight w:val="none"/>
              </w:rPr>
            </w:pPr>
            <w:r>
              <w:rPr>
                <w:rFonts w:hint="eastAsia" w:cs="仿宋"/>
                <w:color w:val="auto"/>
                <w:kern w:val="2"/>
                <w:sz w:val="21"/>
                <w:szCs w:val="21"/>
                <w:highlight w:val="none"/>
              </w:rPr>
              <w:t>形式评审与响应性评审标准</w:t>
            </w:r>
          </w:p>
        </w:tc>
        <w:tc>
          <w:tcPr>
            <w:tcW w:w="7117"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cs="仿宋"/>
                <w:b/>
                <w:bCs/>
                <w:color w:val="auto"/>
                <w:szCs w:val="21"/>
                <w:highlight w:val="none"/>
              </w:rPr>
              <w:t>第一个信封（商务及技术文件）评审标准：</w:t>
            </w:r>
            <w:r>
              <w:rPr>
                <w:rFonts w:hint="eastAsia" w:ascii="宋体" w:hAnsi="宋体" w:cs="仿宋"/>
                <w:color w:val="auto"/>
                <w:szCs w:val="21"/>
                <w:highlight w:val="none"/>
              </w:rPr>
              <w:t xml:space="preserve">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（1）投标文件按照招标文件规定的格式、内容填写，字迹清晰可辨：</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a．投标函按招标文件规定填报了项目名称（招标编号）、补遗书编号（如有）、服务期限、项目负责人、质量要求、安全目标、服务期限等信息；</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b．投标文件组成齐全完整，内容均按规定填写。</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（2）投标文件上法定代表人或其委托代理人的签字、投标人的单位盖章齐全，符合招标文件规定。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（3）投标人按照招标文件的规定提供了投标保证金：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a.投标保证金金额符合招标文件规定的金额，且投标保证金有效期不少于投标有效期；</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b.若投标保证金采用电汇或转账形式提交，投标人应在递交投标文件截止时间之前，将投标保证金由投标人的基本账户转入招标人指定账户；</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c.若投标保证金采用银行保函形式提交，银行保函的格式、开具保函的银行均满足招标文件要求，如为纸质银行保函还需在递交投标文件截止时间之前向招标人提交了银行保函原件；</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d．若投标保证金采用保证保险或担保保函形式提交，投标人应满足招标文件要求。如为纸质保证保险、纸质担保保函还需在递交投标文件截止时间之前向招标人提交了纸质保证保险、纸质担保保函原件。</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（4）若为投标人法定代表人授权委托代理人签署投标文件的，须提交授权委托书；符合招标文件规定。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（5）若为投标人法定代表人若亲自签署投标文件的，提供了法定代表人身份证明；符合招标文件规定。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（6）投标人未以联合体形式投标。 </w:t>
            </w:r>
          </w:p>
          <w:p>
            <w:pPr>
              <w:snapToGrid w:val="0"/>
              <w:spacing w:line="360" w:lineRule="exact"/>
              <w:rPr>
                <w:rFonts w:hint="eastAsia" w:ascii="宋体" w:hAnsi="宋体" w:cs="宋体"/>
                <w:color w:val="auto"/>
                <w:kern w:val="0"/>
                <w:sz w:val="20"/>
                <w:szCs w:val="21"/>
                <w:highlight w:val="none"/>
              </w:rPr>
            </w:pPr>
            <w:r>
              <w:rPr>
                <w:rFonts w:hint="eastAsia" w:ascii="宋体" w:hAnsi="宋体" w:cs="宋体"/>
                <w:color w:val="auto"/>
                <w:kern w:val="0"/>
                <w:szCs w:val="21"/>
                <w:highlight w:val="none"/>
              </w:rPr>
              <w:t>（7）</w:t>
            </w:r>
            <w:r>
              <w:rPr>
                <w:rFonts w:hint="eastAsia" w:ascii="宋体" w:hAnsi="宋体"/>
                <w:color w:val="auto"/>
                <w:szCs w:val="21"/>
                <w:highlight w:val="none"/>
              </w:rPr>
              <w:t>投标人</w:t>
            </w:r>
            <w:r>
              <w:rPr>
                <w:rFonts w:hint="eastAsia" w:ascii="宋体" w:hAnsi="宋体" w:cs="宋体"/>
                <w:color w:val="auto"/>
                <w:kern w:val="0"/>
                <w:szCs w:val="21"/>
                <w:highlight w:val="none"/>
              </w:rPr>
              <w:t>未对本项目提出分包计划。</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（8）同一投标人未提交两个以上不同的投标文件。</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（9）投标文件中未出现有关投标报价的内容。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（10）投标文件载明的招标项目完成期限满足招标文件规定的时限。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（11）投标文件对招标文件的实质性要求和条件作出响应。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（12）权利义务符合招标文件规定：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a.投标人应接受招标文件规定的风险划分原则，未提出新的风险划分办法；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b.投标人未增加委托人的责任范围，或减少投标人义务；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c.投标人未提出不同的支付办法；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d.投标人对合同纠纷、事故处理办法未提出异议；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e.投标人在投标活动中无欺诈行为； </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 xml:space="preserve">f.投标人未对合同条款有重要保留。 </w:t>
            </w:r>
          </w:p>
          <w:p>
            <w:pPr>
              <w:spacing w:line="400" w:lineRule="exact"/>
              <w:jc w:val="left"/>
              <w:rPr>
                <w:rFonts w:hint="eastAsia" w:ascii="宋体" w:hAnsi="宋体" w:cs="仿宋"/>
                <w:color w:val="auto"/>
                <w:szCs w:val="21"/>
                <w:highlight w:val="none"/>
              </w:rPr>
            </w:pPr>
            <w:r>
              <w:rPr>
                <w:rFonts w:hint="eastAsia" w:ascii="宋体" w:hAnsi="宋体" w:cs="仿宋"/>
                <w:b/>
                <w:bCs/>
                <w:color w:val="auto"/>
                <w:szCs w:val="21"/>
                <w:highlight w:val="none"/>
              </w:rPr>
              <w:t>第二个信封（报价文件）评审标准：</w:t>
            </w:r>
            <w:r>
              <w:rPr>
                <w:rFonts w:hint="eastAsia" w:ascii="宋体" w:hAnsi="宋体" w:cs="仿宋"/>
                <w:color w:val="auto"/>
                <w:szCs w:val="21"/>
                <w:highlight w:val="none"/>
              </w:rPr>
              <w:t xml:space="preserve"> </w:t>
            </w:r>
          </w:p>
          <w:p>
            <w:pPr>
              <w:spacing w:line="400" w:lineRule="exact"/>
              <w:jc w:val="left"/>
              <w:rPr>
                <w:rFonts w:ascii="宋体" w:hAnsi="宋体" w:cs="仿宋"/>
                <w:color w:val="auto"/>
                <w:szCs w:val="21"/>
                <w:highlight w:val="none"/>
              </w:rPr>
            </w:pPr>
            <w:r>
              <w:rPr>
                <w:rFonts w:hint="eastAsia" w:ascii="宋体" w:hAnsi="宋体" w:cs="宋体"/>
                <w:color w:val="auto"/>
                <w:kern w:val="0"/>
                <w:szCs w:val="21"/>
                <w:highlight w:val="none"/>
              </w:rPr>
              <w:t>（</w:t>
            </w:r>
            <w:r>
              <w:rPr>
                <w:rFonts w:hint="eastAsia" w:ascii="宋体" w:hAnsi="宋体" w:cs="仿宋"/>
                <w:color w:val="auto"/>
                <w:szCs w:val="21"/>
                <w:highlight w:val="none"/>
              </w:rPr>
              <w:t>1）投标文件按照招标文件规定的格式、内容填写，字迹清晰可辨。</w:t>
            </w:r>
          </w:p>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a．投标函按招标文件规定填报了项目名称、补遗书编号（如有）、投标总报价等；</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b.已标价报价清单说明文字与招标文件一致，未进行实质性修改和删减。</w:t>
            </w:r>
          </w:p>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c．投标文件组成齐全完整，内容均按规定填写。</w:t>
            </w:r>
          </w:p>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（2）投标文件上法定代表人或其授权代理人的签字、投标人的单位章盖章齐全，符合招标文件规定。</w:t>
            </w:r>
          </w:p>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（3）投标报价未超过招标文件设定的最高投标限价。</w:t>
            </w:r>
          </w:p>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（4）投标报价的大写金额能够确定具体数值。</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（5）同一投标人未提交两个以上不同的投标报价。</w:t>
            </w:r>
          </w:p>
          <w:p>
            <w:pPr>
              <w:spacing w:line="400" w:lineRule="exact"/>
              <w:jc w:val="left"/>
              <w:rPr>
                <w:rFonts w:hint="eastAsia" w:ascii="宋体" w:hAnsi="宋体" w:cs="仿宋"/>
                <w:color w:val="auto"/>
                <w:szCs w:val="21"/>
                <w:highlight w:val="none"/>
              </w:rPr>
            </w:pPr>
            <w:r>
              <w:rPr>
                <w:rFonts w:hint="eastAsia"/>
                <w:color w:val="auto"/>
                <w:highlight w:val="none"/>
              </w:rPr>
              <w:t>（</w:t>
            </w:r>
            <w:r>
              <w:rPr>
                <w:rFonts w:hint="eastAsia" w:ascii="宋体" w:hAnsi="宋体" w:cs="仿宋"/>
                <w:color w:val="auto"/>
                <w:szCs w:val="21"/>
                <w:highlight w:val="none"/>
              </w:rPr>
              <w:t>6）投标人未提交</w:t>
            </w:r>
            <w:r>
              <w:rPr>
                <w:rFonts w:hint="eastAsia" w:ascii="宋体" w:hAnsi="宋体" w:cs="仿宋"/>
                <w:color w:val="auto"/>
                <w:szCs w:val="21"/>
                <w:highlight w:val="none"/>
                <w:lang w:eastAsia="zh-CN"/>
              </w:rPr>
              <w:t>调价函</w:t>
            </w:r>
            <w:r>
              <w:rPr>
                <w:rFonts w:hint="eastAsia" w:ascii="宋体" w:hAnsi="宋体" w:cs="仿宋"/>
                <w:color w:val="auto"/>
                <w:szCs w:val="21"/>
                <w:highlight w:val="none"/>
              </w:rPr>
              <w:t>。</w:t>
            </w:r>
          </w:p>
          <w:p>
            <w:pPr>
              <w:spacing w:line="400" w:lineRule="exact"/>
              <w:jc w:val="left"/>
              <w:rPr>
                <w:rFonts w:hint="eastAsia"/>
                <w:color w:val="auto"/>
                <w:highlight w:val="none"/>
              </w:rPr>
            </w:pPr>
            <w:r>
              <w:rPr>
                <w:rFonts w:hint="eastAsia" w:ascii="宋体" w:hAnsi="宋体" w:cs="仿宋"/>
                <w:color w:val="auto"/>
                <w:szCs w:val="21"/>
                <w:highlight w:val="none"/>
              </w:rPr>
              <w:t>（7）投标人填写完毕的工程量固化清单未对招标人提供的工程量固化清单电子文件中的数据、格式和运算定义进行修改；工程量固化清单中的投标报价和投标函大写金额报价一致。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901"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2.1.2</w:t>
            </w:r>
          </w:p>
        </w:tc>
        <w:tc>
          <w:tcPr>
            <w:tcW w:w="1400"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资格评审标准</w:t>
            </w:r>
          </w:p>
        </w:tc>
        <w:tc>
          <w:tcPr>
            <w:tcW w:w="7117"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（1）投标人具备有效的营业执照(或事业单位法人证书)、检测资质证书和计量认证合格证书和基本账户开户许可证(或基本存款账户信息)。</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（2）投标人的资质等级符合招标文件规定。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（3）投标人的类似项目业绩符合招标文件的规定。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（4）投标人的信誉符合招标文件规定。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（5）投标人的项目负责人资格符合招标文件规定。</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901"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2.2.1</w:t>
            </w:r>
          </w:p>
        </w:tc>
        <w:tc>
          <w:tcPr>
            <w:tcW w:w="1400"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分值构成</w:t>
            </w:r>
          </w:p>
          <w:p>
            <w:pPr>
              <w:jc w:val="center"/>
              <w:rPr>
                <w:rFonts w:hint="eastAsia" w:ascii="宋体" w:hAnsi="宋体" w:cs="仿宋"/>
                <w:color w:val="auto"/>
                <w:szCs w:val="21"/>
                <w:highlight w:val="none"/>
              </w:rPr>
            </w:pPr>
            <w:r>
              <w:rPr>
                <w:rFonts w:hint="eastAsia" w:ascii="宋体" w:hAnsi="宋体" w:cs="仿宋"/>
                <w:color w:val="auto"/>
                <w:szCs w:val="21"/>
                <w:highlight w:val="none"/>
              </w:rPr>
              <w:t>（总分100分）</w:t>
            </w:r>
          </w:p>
        </w:tc>
        <w:tc>
          <w:tcPr>
            <w:tcW w:w="7117" w:type="dxa"/>
            <w:noWrap w:val="0"/>
            <w:vAlign w:val="center"/>
          </w:tcPr>
          <w:p>
            <w:pPr>
              <w:spacing w:line="400" w:lineRule="exact"/>
              <w:jc w:val="left"/>
              <w:rPr>
                <w:rFonts w:hint="eastAsia" w:ascii="宋体" w:hAnsi="宋体" w:cs="仿宋"/>
                <w:b/>
                <w:bCs/>
                <w:color w:val="auto"/>
                <w:szCs w:val="21"/>
                <w:highlight w:val="none"/>
              </w:rPr>
            </w:pPr>
            <w:r>
              <w:rPr>
                <w:rFonts w:hint="eastAsia" w:ascii="宋体" w:hAnsi="宋体" w:cs="仿宋"/>
                <w:b/>
                <w:bCs/>
                <w:color w:val="auto"/>
                <w:szCs w:val="21"/>
                <w:highlight w:val="none"/>
              </w:rPr>
              <w:t>第一个信封（商务及技术文件）评分分值构成：</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技术建议书：</w:t>
            </w:r>
            <w:r>
              <w:rPr>
                <w:rFonts w:hint="eastAsia" w:ascii="宋体" w:hAnsi="宋体" w:cs="仿宋"/>
                <w:color w:val="auto"/>
                <w:szCs w:val="21"/>
                <w:highlight w:val="none"/>
                <w:lang w:val="en-US" w:eastAsia="zh-CN"/>
              </w:rPr>
              <w:t>35</w:t>
            </w:r>
            <w:r>
              <w:rPr>
                <w:rFonts w:hint="eastAsia" w:ascii="宋体" w:hAnsi="宋体" w:cs="仿宋"/>
                <w:color w:val="auto"/>
                <w:szCs w:val="21"/>
                <w:highlight w:val="none"/>
              </w:rPr>
              <w:t>分</w:t>
            </w:r>
          </w:p>
          <w:p>
            <w:pPr>
              <w:spacing w:line="400" w:lineRule="exact"/>
              <w:jc w:val="left"/>
              <w:rPr>
                <w:rFonts w:hint="eastAsia" w:ascii="宋体" w:hAnsi="宋体" w:cs="仿宋"/>
                <w:color w:val="auto"/>
                <w:szCs w:val="21"/>
                <w:highlight w:val="none"/>
              </w:rPr>
            </w:pPr>
            <w:r>
              <w:rPr>
                <w:rFonts w:hint="eastAsia" w:ascii="宋体" w:hAnsi="宋体" w:cs="仿宋"/>
                <w:color w:val="auto"/>
                <w:kern w:val="0"/>
                <w:szCs w:val="21"/>
                <w:highlight w:val="none"/>
              </w:rPr>
              <w:t>主要人员：</w:t>
            </w:r>
            <w:r>
              <w:rPr>
                <w:rFonts w:hint="eastAsia" w:ascii="宋体" w:hAnsi="宋体" w:cs="仿宋"/>
                <w:color w:val="auto"/>
                <w:szCs w:val="21"/>
                <w:highlight w:val="none"/>
                <w:lang w:val="en-US" w:eastAsia="zh-CN"/>
              </w:rPr>
              <w:t>30</w:t>
            </w:r>
            <w:r>
              <w:rPr>
                <w:rFonts w:hint="eastAsia" w:ascii="宋体" w:hAnsi="宋体" w:cs="仿宋"/>
                <w:color w:val="auto"/>
                <w:szCs w:val="21"/>
                <w:highlight w:val="none"/>
              </w:rPr>
              <w:t>分</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其他因素：25分</w:t>
            </w:r>
          </w:p>
          <w:p>
            <w:pPr>
              <w:spacing w:line="400" w:lineRule="exact"/>
              <w:jc w:val="left"/>
              <w:rPr>
                <w:rFonts w:hint="eastAsia" w:ascii="宋体" w:hAnsi="宋体" w:cs="仿宋"/>
                <w:b/>
                <w:bCs/>
                <w:color w:val="auto"/>
                <w:szCs w:val="21"/>
                <w:highlight w:val="none"/>
              </w:rPr>
            </w:pPr>
            <w:r>
              <w:rPr>
                <w:rFonts w:hint="eastAsia" w:ascii="宋体" w:hAnsi="宋体" w:cs="仿宋"/>
                <w:b/>
                <w:bCs/>
                <w:color w:val="auto"/>
                <w:szCs w:val="21"/>
                <w:highlight w:val="none"/>
              </w:rPr>
              <w:t>第二个信封（报价文件）评分分值构成：</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2" w:hRule="atLeast"/>
          <w:jc w:val="center"/>
        </w:trPr>
        <w:tc>
          <w:tcPr>
            <w:tcW w:w="901"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2.2.2</w:t>
            </w:r>
          </w:p>
        </w:tc>
        <w:tc>
          <w:tcPr>
            <w:tcW w:w="1400"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评标基准价计算方法</w:t>
            </w:r>
          </w:p>
        </w:tc>
        <w:tc>
          <w:tcPr>
            <w:tcW w:w="7117" w:type="dxa"/>
            <w:noWrap w:val="0"/>
            <w:vAlign w:val="center"/>
          </w:tcPr>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评标基准价的计算： </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所有通过第一个信封评审的投标文件，由评标委员会开启第二个信封，并当场计算并宣布评标基准价。</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(1)评标价的确定：</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评标价=投标函文字报价</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(2)评标价平均值的计算：</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(3)评标基准价的确定：</w:t>
            </w:r>
          </w:p>
          <w:p>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将评标价平均值直接作为评标基准价（评标基准价保留两位小数，第三位四舍五入）。当所有投标价都高于招标人投标控制价上限时，招标人将重新招标。</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2.2.3</w:t>
            </w:r>
          </w:p>
        </w:tc>
        <w:tc>
          <w:tcPr>
            <w:tcW w:w="1400"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评标价的偏差率计算公式</w:t>
            </w:r>
          </w:p>
        </w:tc>
        <w:tc>
          <w:tcPr>
            <w:tcW w:w="7117"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noWrap w:val="0"/>
            <w:vAlign w:val="center"/>
          </w:tcPr>
          <w:p>
            <w:pPr>
              <w:spacing w:line="360" w:lineRule="auto"/>
              <w:jc w:val="center"/>
              <w:rPr>
                <w:rFonts w:hint="eastAsia" w:ascii="宋体" w:hAnsi="宋体" w:cs="仿宋"/>
                <w:color w:val="auto"/>
                <w:szCs w:val="21"/>
                <w:highlight w:val="none"/>
              </w:rPr>
            </w:pPr>
            <w:r>
              <w:rPr>
                <w:rFonts w:hint="eastAsia" w:ascii="宋体" w:hAnsi="宋体" w:cs="仿宋"/>
                <w:color w:val="auto"/>
                <w:kern w:val="0"/>
                <w:szCs w:val="21"/>
                <w:highlight w:val="none"/>
              </w:rPr>
              <w:t>3.6.1</w:t>
            </w:r>
          </w:p>
        </w:tc>
        <w:tc>
          <w:tcPr>
            <w:tcW w:w="1400" w:type="dxa"/>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投标文件相关信息的核查</w:t>
            </w:r>
          </w:p>
        </w:tc>
        <w:tc>
          <w:tcPr>
            <w:tcW w:w="7117"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本款修改为：</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（1）在评标过程中，评标委员会应在“公路水运工程质量试验检测管理信息系统（https://www.ttiis.cn）” 中查询试验检测机构等级证书及查询项目负责人登记信息、“信用中国”网站被列入失信被执行人名单、异常经营名录、税收违法黑名单、政府采购严重违法失信名单和“国家企业信用信息公示系统”中被列入严重违法失信企业名单的网上公示信息（均不含分公司）。（投标人为事业单位的可不进行在国家企业信用信息公示系统中未被列入严重违法失信企业名单的信息查询。）</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若投标文件载明的信息与上述网站发布的信息不符，使得投标人的资格条件不符合招标文件规定的，评标委员会应否决其投标。</w:t>
            </w:r>
          </w:p>
          <w:p>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投标人应保证上述全部截图的真实性，如发现核查结果不一致，视为投标过程中的弄虚作假，按照相关规定处理。投标人应当及时核查并更新政府网站公示的相关信息，并承担由于信息填报不完整或者不准确等原因导致投标可能被否决的后果。</w:t>
            </w:r>
          </w:p>
          <w:p>
            <w:pPr>
              <w:spacing w:line="400" w:lineRule="exact"/>
              <w:jc w:val="left"/>
              <w:rPr>
                <w:color w:val="auto"/>
                <w:highlight w:val="none"/>
              </w:rPr>
            </w:pPr>
            <w:r>
              <w:rPr>
                <w:rFonts w:hint="eastAsia" w:ascii="宋体" w:hAnsi="宋体" w:cs="仿宋"/>
                <w:color w:val="auto"/>
                <w:szCs w:val="21"/>
                <w:highlight w:val="none"/>
              </w:rPr>
              <w:t>（2）评标委员会在评标时按照投标人提供的验证方式对电子银行保函或电子担保保函或或电子保证保险进行验证。如投标人未提供电子银行保函或电子担保保函或或电子保证保险在线验证方式，或根据提供的验证方式无法核实的，评标委员会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jc w:val="center"/>
        </w:trPr>
        <w:tc>
          <w:tcPr>
            <w:tcW w:w="9418" w:type="dxa"/>
            <w:gridSpan w:val="3"/>
            <w:noWrap w:val="0"/>
            <w:vAlign w:val="center"/>
          </w:tcPr>
          <w:p>
            <w:pPr>
              <w:jc w:val="left"/>
              <w:rPr>
                <w:rFonts w:hint="eastAsia" w:ascii="宋体" w:hAnsi="宋体" w:cs="仿宋"/>
                <w:color w:val="auto"/>
                <w:szCs w:val="21"/>
                <w:highlight w:val="none"/>
              </w:rPr>
            </w:pPr>
            <w:r>
              <w:rPr>
                <w:rFonts w:hint="eastAsia" w:ascii="宋体" w:hAnsi="宋体" w:cs="仿宋"/>
                <w:color w:val="auto"/>
                <w:kern w:val="0"/>
                <w:szCs w:val="21"/>
                <w:highlight w:val="none"/>
              </w:rPr>
              <w:t>需要补充的其他内容：无</w:t>
            </w:r>
          </w:p>
        </w:tc>
      </w:tr>
    </w:tbl>
    <w:p>
      <w:pPr>
        <w:rPr>
          <w:rFonts w:hint="eastAsia" w:ascii="宋体" w:hAnsi="宋体" w:cs="仿宋"/>
          <w:color w:val="auto"/>
          <w:highlight w:val="none"/>
        </w:rPr>
      </w:pPr>
    </w:p>
    <w:p>
      <w:pPr>
        <w:pStyle w:val="6"/>
        <w:rPr>
          <w:rFonts w:hint="eastAsia" w:ascii="宋体" w:hAnsi="宋体" w:cs="仿宋"/>
          <w:color w:val="auto"/>
          <w:highlight w:val="none"/>
        </w:rPr>
      </w:pPr>
      <w:r>
        <w:rPr>
          <w:rFonts w:ascii="宋体" w:hAnsi="宋体" w:cs="仿宋"/>
          <w:color w:val="auto"/>
          <w:sz w:val="21"/>
          <w:szCs w:val="24"/>
          <w:highlight w:val="none"/>
        </w:rPr>
        <w:br w:type="page"/>
      </w:r>
    </w:p>
    <w:p>
      <w:pPr>
        <w:jc w:val="right"/>
        <w:rPr>
          <w:rFonts w:hint="eastAsia" w:ascii="宋体" w:hAnsi="宋体" w:cs="仿宋"/>
          <w:color w:val="auto"/>
          <w:highlight w:val="none"/>
        </w:rPr>
      </w:pPr>
      <w:r>
        <w:rPr>
          <w:rFonts w:hint="eastAsia" w:ascii="宋体" w:hAnsi="宋体" w:cs="仿宋"/>
          <w:color w:val="auto"/>
          <w:highlight w:val="none"/>
        </w:rPr>
        <w:t>续上表</w:t>
      </w:r>
    </w:p>
    <w:tbl>
      <w:tblPr>
        <w:tblStyle w:val="8"/>
        <w:tblW w:w="98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91"/>
        <w:gridCol w:w="705"/>
        <w:gridCol w:w="1033"/>
        <w:gridCol w:w="1197"/>
        <w:gridCol w:w="562"/>
        <w:gridCol w:w="5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7"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条款号</w:t>
            </w:r>
          </w:p>
        </w:tc>
        <w:tc>
          <w:tcPr>
            <w:tcW w:w="705"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评审因素</w:t>
            </w:r>
          </w:p>
        </w:tc>
        <w:tc>
          <w:tcPr>
            <w:tcW w:w="1033"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评分因素权重分值</w:t>
            </w:r>
          </w:p>
        </w:tc>
        <w:tc>
          <w:tcPr>
            <w:tcW w:w="11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各评分因素细分项</w:t>
            </w:r>
          </w:p>
        </w:tc>
        <w:tc>
          <w:tcPr>
            <w:tcW w:w="56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分值</w:t>
            </w:r>
          </w:p>
        </w:tc>
        <w:tc>
          <w:tcPr>
            <w:tcW w:w="55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 xml:space="preserve">评分标准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4" w:hRule="atLeast"/>
          <w:jc w:val="center"/>
        </w:trPr>
        <w:tc>
          <w:tcPr>
            <w:tcW w:w="791"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2.2.4（1）</w:t>
            </w:r>
          </w:p>
        </w:tc>
        <w:tc>
          <w:tcPr>
            <w:tcW w:w="705"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技术建议书</w:t>
            </w:r>
          </w:p>
        </w:tc>
        <w:tc>
          <w:tcPr>
            <w:tcW w:w="1033"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5分</w:t>
            </w:r>
          </w:p>
        </w:tc>
        <w:tc>
          <w:tcPr>
            <w:tcW w:w="1197"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对本项目工作范围和任务理解</w:t>
            </w:r>
          </w:p>
        </w:tc>
        <w:tc>
          <w:tcPr>
            <w:tcW w:w="562"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分</w:t>
            </w:r>
          </w:p>
        </w:tc>
        <w:tc>
          <w:tcPr>
            <w:tcW w:w="5591"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 xml:space="preserve">理解基本准确，得3.0-3.5分；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理解较准确，思路较清晰，得3.</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 xml:space="preserve">－4.0分；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理解准确，思路清晰，全面、合理，符合项目要求，得4.</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 xml:space="preserve">－5.0分。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第三方试验检测工作管理程序和试验管理程序</w:t>
            </w:r>
          </w:p>
        </w:tc>
        <w:tc>
          <w:tcPr>
            <w:tcW w:w="5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分</w:t>
            </w: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内容基本齐全，阶段划分基本合理，可实施性一般，得</w:t>
            </w: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14</w:t>
            </w:r>
            <w:r>
              <w:rPr>
                <w:rFonts w:hint="eastAsia" w:ascii="宋体" w:hAnsi="宋体" w:cs="仿宋"/>
                <w:color w:val="auto"/>
                <w:szCs w:val="21"/>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内容较齐全，阶段划分较合理，可实施性较好，得</w:t>
            </w:r>
            <w:r>
              <w:rPr>
                <w:rFonts w:hint="eastAsia" w:ascii="宋体" w:hAnsi="宋体" w:cs="仿宋"/>
                <w:color w:val="auto"/>
                <w:szCs w:val="21"/>
                <w:highlight w:val="none"/>
                <w:lang w:val="en-US" w:eastAsia="zh-CN"/>
              </w:rPr>
              <w:t>14</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16</w:t>
            </w:r>
            <w:r>
              <w:rPr>
                <w:rFonts w:hint="eastAsia" w:ascii="宋体" w:hAnsi="宋体" w:cs="仿宋"/>
                <w:color w:val="auto"/>
                <w:szCs w:val="21"/>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4"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内容齐全，阶段划分合理、正确，可实施性强，得</w:t>
            </w:r>
            <w:r>
              <w:rPr>
                <w:rFonts w:hint="eastAsia" w:ascii="宋体" w:hAnsi="宋体" w:cs="仿宋"/>
                <w:color w:val="auto"/>
                <w:szCs w:val="21"/>
                <w:highlight w:val="none"/>
                <w:lang w:val="en-US" w:eastAsia="zh-CN"/>
              </w:rPr>
              <w:t>16.0</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第三方试验检测的现场管理及工作的重点与难点分析</w:t>
            </w:r>
          </w:p>
        </w:tc>
        <w:tc>
          <w:tcPr>
            <w:tcW w:w="56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10</w:t>
            </w:r>
            <w:r>
              <w:rPr>
                <w:rFonts w:hint="eastAsia" w:ascii="宋体" w:hAnsi="宋体" w:cs="仿宋"/>
                <w:color w:val="auto"/>
                <w:szCs w:val="21"/>
                <w:highlight w:val="none"/>
              </w:rPr>
              <w:t>分</w:t>
            </w: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分析一般，对难点、重点把握一般；处理措施基本合理，基本可行；得6.0-7.0分；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分析较透彻，对难点、重点把握较准确；处理措施合理，可行，得7.</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-8.0分；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7"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119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分析透彻，对难点、重点把握准确；处理措施科学合理，有效可行，得8.</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-10.0分。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791"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2.2.4（2）</w:t>
            </w:r>
          </w:p>
        </w:tc>
        <w:tc>
          <w:tcPr>
            <w:tcW w:w="705"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kern w:val="0"/>
                <w:szCs w:val="21"/>
                <w:highlight w:val="none"/>
              </w:rPr>
            </w:pPr>
            <w:r>
              <w:rPr>
                <w:rFonts w:hint="eastAsia" w:ascii="宋体" w:hAnsi="宋体" w:cs="仿宋"/>
                <w:color w:val="auto"/>
                <w:kern w:val="0"/>
                <w:szCs w:val="21"/>
                <w:highlight w:val="none"/>
              </w:rPr>
              <w:t>主要</w:t>
            </w:r>
          </w:p>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kern w:val="0"/>
                <w:szCs w:val="21"/>
                <w:highlight w:val="none"/>
              </w:rPr>
              <w:t>人员</w:t>
            </w:r>
          </w:p>
        </w:tc>
        <w:tc>
          <w:tcPr>
            <w:tcW w:w="1033"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30</w:t>
            </w:r>
            <w:r>
              <w:rPr>
                <w:rFonts w:hint="eastAsia" w:ascii="宋体" w:hAnsi="宋体" w:cs="仿宋"/>
                <w:color w:val="auto"/>
                <w:szCs w:val="21"/>
                <w:highlight w:val="none"/>
              </w:rPr>
              <w:t>分</w:t>
            </w:r>
          </w:p>
        </w:tc>
        <w:tc>
          <w:tcPr>
            <w:tcW w:w="1197"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项目负责人</w:t>
            </w:r>
          </w:p>
        </w:tc>
        <w:tc>
          <w:tcPr>
            <w:tcW w:w="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18</w:t>
            </w:r>
            <w:r>
              <w:rPr>
                <w:rFonts w:hint="eastAsia" w:ascii="宋体" w:hAnsi="宋体" w:cs="仿宋"/>
                <w:color w:val="auto"/>
                <w:szCs w:val="21"/>
                <w:highlight w:val="none"/>
              </w:rPr>
              <w:t>分</w:t>
            </w: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w:t>
            </w:r>
            <w:r>
              <w:rPr>
                <w:rFonts w:hint="eastAsia" w:ascii="宋体" w:hAnsi="宋体" w:cs="仿宋"/>
                <w:color w:val="auto"/>
                <w:szCs w:val="21"/>
                <w:highlight w:val="none"/>
                <w:lang w:val="en-US" w:eastAsia="zh-CN"/>
              </w:rPr>
              <w:t>18</w:t>
            </w:r>
            <w:r>
              <w:rPr>
                <w:rFonts w:hint="eastAsia" w:ascii="宋体" w:hAnsi="宋体" w:cs="仿宋"/>
                <w:color w:val="auto"/>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1"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p>
        </w:tc>
        <w:tc>
          <w:tcPr>
            <w:tcW w:w="56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分</w:t>
            </w:r>
          </w:p>
        </w:tc>
        <w:tc>
          <w:tcPr>
            <w:tcW w:w="559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color w:val="auto"/>
                <w:highlight w:val="none"/>
              </w:rPr>
            </w:pPr>
            <w:r>
              <w:rPr>
                <w:rFonts w:hint="eastAsia" w:ascii="宋体" w:hAnsi="宋体" w:cs="仿宋"/>
                <w:color w:val="auto"/>
                <w:szCs w:val="21"/>
                <w:highlight w:val="none"/>
              </w:rPr>
              <w:t>每增加一项满足附录4资格审查条件（项目负责人最低要求）中的业绩加12分，本项最多加12分。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96"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2.2.4（3）</w:t>
            </w:r>
          </w:p>
        </w:tc>
        <w:tc>
          <w:tcPr>
            <w:tcW w:w="705"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评标价</w:t>
            </w:r>
          </w:p>
        </w:tc>
        <w:tc>
          <w:tcPr>
            <w:tcW w:w="1033" w:type="dxa"/>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10分</w:t>
            </w:r>
          </w:p>
        </w:tc>
        <w:tc>
          <w:tcPr>
            <w:tcW w:w="7350"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评标价得分计算公式示例：</w:t>
            </w:r>
          </w:p>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（1）如果投标人的评标价＞评标基准价，则投标价得分=F-（投标人投标价-评标基准价）/评标基准价×100×E1；</w:t>
            </w:r>
          </w:p>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（2）如果投标人的评标价≤评标基准价，则投标价得分=F+(投标人投标价-评标基准价)/评标基准价×100×E2。</w:t>
            </w:r>
          </w:p>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其中，F=10；E1= 0.2；E2= 0.1；投标价最低得分为0分。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791" w:type="dxa"/>
            <w:vMerge w:val="restart"/>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2.2.4（4）</w:t>
            </w:r>
          </w:p>
        </w:tc>
        <w:tc>
          <w:tcPr>
            <w:tcW w:w="705"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其他</w:t>
            </w:r>
          </w:p>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因素</w:t>
            </w:r>
          </w:p>
        </w:tc>
        <w:tc>
          <w:tcPr>
            <w:tcW w:w="103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25分</w:t>
            </w:r>
          </w:p>
        </w:tc>
        <w:tc>
          <w:tcPr>
            <w:tcW w:w="1197"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业绩</w:t>
            </w:r>
          </w:p>
        </w:tc>
        <w:tc>
          <w:tcPr>
            <w:tcW w:w="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15分</w:t>
            </w:r>
          </w:p>
        </w:tc>
        <w:tc>
          <w:tcPr>
            <w:tcW w:w="559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p>
        </w:tc>
        <w:tc>
          <w:tcPr>
            <w:tcW w:w="70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p>
        </w:tc>
        <w:tc>
          <w:tcPr>
            <w:tcW w:w="1033"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cs="仿宋"/>
                <w:color w:val="auto"/>
                <w:szCs w:val="21"/>
                <w:highlight w:val="none"/>
              </w:rPr>
            </w:pPr>
          </w:p>
        </w:tc>
        <w:tc>
          <w:tcPr>
            <w:tcW w:w="119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ind w:firstLine="420" w:firstLineChars="200"/>
              <w:jc w:val="center"/>
              <w:textAlignment w:val="auto"/>
              <w:rPr>
                <w:rFonts w:hint="eastAsia" w:ascii="宋体" w:hAnsi="宋体" w:cs="仿宋"/>
                <w:color w:val="auto"/>
                <w:szCs w:val="21"/>
                <w:highlight w:val="none"/>
              </w:rPr>
            </w:pPr>
          </w:p>
        </w:tc>
        <w:tc>
          <w:tcPr>
            <w:tcW w:w="56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cs="仿宋"/>
                <w:color w:val="auto"/>
                <w:szCs w:val="21"/>
                <w:highlight w:val="none"/>
              </w:rPr>
            </w:pPr>
            <w:r>
              <w:rPr>
                <w:rFonts w:hint="eastAsia" w:ascii="宋体" w:hAnsi="宋体" w:cs="仿宋"/>
                <w:color w:val="auto"/>
                <w:szCs w:val="21"/>
                <w:highlight w:val="none"/>
              </w:rPr>
              <w:t>10分</w:t>
            </w:r>
          </w:p>
        </w:tc>
        <w:tc>
          <w:tcPr>
            <w:tcW w:w="559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ascii="宋体" w:hAnsi="宋体" w:cs="仿宋"/>
                <w:color w:val="auto"/>
                <w:szCs w:val="21"/>
                <w:highlight w:val="none"/>
              </w:rPr>
            </w:pPr>
            <w:r>
              <w:rPr>
                <w:rFonts w:hint="eastAsia" w:ascii="宋体" w:hAnsi="宋体" w:cs="仿宋"/>
                <w:color w:val="auto"/>
                <w:szCs w:val="21"/>
                <w:highlight w:val="none"/>
              </w:rPr>
              <w:t>每增加一项满足资格审查条件最低要求的业绩，得5分，最高得10分。</w:t>
            </w:r>
          </w:p>
        </w:tc>
      </w:tr>
    </w:tbl>
    <w:p>
      <w:pPr>
        <w:pStyle w:val="5"/>
        <w:textAlignment w:val="baseline"/>
        <w:rPr>
          <w:rFonts w:hAnsi="宋体"/>
          <w:color w:val="auto"/>
          <w:highlight w:val="none"/>
        </w:rPr>
      </w:pPr>
      <w:r>
        <w:rPr>
          <w:rFonts w:hint="eastAsia" w:hAnsi="宋体"/>
          <w:color w:val="auto"/>
          <w:highlight w:val="none"/>
        </w:rPr>
        <w:t>注：1、第2.2.4（1）项</w:t>
      </w:r>
      <w:r>
        <w:rPr>
          <w:rFonts w:hint="eastAsia" w:hAnsi="宋体" w:cs="宋体"/>
          <w:color w:val="auto"/>
          <w:highlight w:val="none"/>
        </w:rPr>
        <w:t>各评委打分保留1位小数，</w:t>
      </w:r>
      <w:r>
        <w:rPr>
          <w:color w:val="auto"/>
          <w:highlight w:val="none"/>
        </w:rPr>
        <w:t>投标人该项得分以各评委打分平均值计算所得，保留两位小数，第三位小数四舍五入</w:t>
      </w:r>
      <w:r>
        <w:rPr>
          <w:rFonts w:hint="eastAsia" w:hAnsi="宋体"/>
          <w:color w:val="auto"/>
          <w:highlight w:val="none"/>
        </w:rPr>
        <w:t>。</w:t>
      </w:r>
    </w:p>
    <w:p>
      <w:pPr>
        <w:pStyle w:val="5"/>
        <w:ind w:firstLine="420" w:firstLineChars="200"/>
        <w:textAlignment w:val="baseline"/>
        <w:rPr>
          <w:rFonts w:hAnsi="宋体"/>
          <w:color w:val="auto"/>
          <w:highlight w:val="none"/>
        </w:rPr>
      </w:pPr>
      <w:r>
        <w:rPr>
          <w:rFonts w:hint="eastAsia" w:hAnsi="宋体"/>
          <w:color w:val="auto"/>
          <w:highlight w:val="none"/>
        </w:rPr>
        <w:t>2、第2.2.4（1）项各评分因素得分一般不应低于其权重分值的60%，评标委员会成员对某一项评分因素的评分低于权重分值 60%的，应在评标报告中作出说明。评审因素缺项则该项得0分。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TYxMDEyNGFmNjc3MWU1M2E2NTdkMmQ3MGQ3OGIifQ=="/>
  </w:docVars>
  <w:rsids>
    <w:rsidRoot w:val="42A205E8"/>
    <w:rsid w:val="1EFE2567"/>
    <w:rsid w:val="42A205E8"/>
    <w:rsid w:val="4B6C4CC7"/>
    <w:rsid w:val="509F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Plain Text"/>
    <w:basedOn w:val="1"/>
    <w:qFormat/>
    <w:uiPriority w:val="99"/>
    <w:rPr>
      <w:rFonts w:ascii="宋体" w:hAnsi="Courier New" w:cs="Courier New"/>
      <w:szCs w:val="21"/>
    </w:rPr>
  </w:style>
  <w:style w:type="paragraph" w:styleId="6">
    <w:name w:val="Body Text 2"/>
    <w:basedOn w:val="1"/>
    <w:qFormat/>
    <w:uiPriority w:val="0"/>
    <w:rPr>
      <w:sz w:val="28"/>
      <w:szCs w:val="20"/>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目录3"/>
    <w:basedOn w:val="1"/>
    <w:qFormat/>
    <w:uiPriority w:val="0"/>
    <w:pPr>
      <w:spacing w:beforeLines="50" w:afterLines="50" w:line="400" w:lineRule="exact"/>
    </w:pPr>
    <w:rPr>
      <w:rFonts w:ascii="黑体" w:eastAsia="黑体"/>
      <w:sz w:val="24"/>
    </w:rPr>
  </w:style>
  <w:style w:type="character" w:customStyle="1" w:styleId="11">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6670</Words>
  <Characters>7358</Characters>
  <Lines>0</Lines>
  <Paragraphs>0</Paragraphs>
  <TotalTime>0</TotalTime>
  <ScaleCrop>false</ScaleCrop>
  <LinksUpToDate>false</LinksUpToDate>
  <CharactersWithSpaces>7446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2023-08-29T02:21:00Z</dcterms:created>
  <dc:creator>WPS_1622007829</dc:creator>
  <cp:lastModifiedBy>WPS_1622007829</cp:lastModifiedBy>
  <cp:lastPrinted>2023-08-29T02:23:00Z</cp:lastPrinted>
  <dcterms:modified xsi:type="dcterms:W3CDTF">2023-08-29T04:59:45Z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8C3D0A3DE2754FF6BAA29AC4D0B63C57_11</vt:lpwstr>
  </property>
</Properties>
</file>