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hAnsi="宋体" w:cs="宋体"/>
        </w:rPr>
      </w:pPr>
      <w:bookmarkStart w:id="2" w:name="_GoBack"/>
      <w:bookmarkEnd w:id="2"/>
      <w:r>
        <w:rPr>
          <w:rFonts w:hint="eastAsia" w:ascii="宋体" w:hAnsi="宋体" w:cs="宋体"/>
        </w:rPr>
        <w:t>附件1：资格审查条件</w:t>
      </w:r>
    </w:p>
    <w:p>
      <w:pPr>
        <w:rPr>
          <w:rFonts w:ascii="宋体" w:hAnsi="宋体" w:cs="宋体"/>
          <w:sz w:val="24"/>
        </w:rPr>
      </w:pPr>
    </w:p>
    <w:p>
      <w:pPr>
        <w:spacing w:line="360" w:lineRule="auto"/>
        <w:jc w:val="center"/>
        <w:rPr>
          <w:rStyle w:val="19"/>
          <w:rFonts w:ascii="宋体" w:hAnsi="宋体" w:eastAsia="宋体" w:cs="宋体"/>
          <w:b/>
        </w:rPr>
      </w:pPr>
      <w:r>
        <w:rPr>
          <w:rStyle w:val="19"/>
          <w:rFonts w:hint="eastAsia" w:ascii="宋体" w:hAnsi="宋体" w:eastAsia="宋体" w:cs="宋体"/>
        </w:rPr>
        <w:t>附录1  资格审查条件（资质最低条件）</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shd w:val="clear" w:color="auto" w:fill="auto"/>
          </w:tcPr>
          <w:p>
            <w:pPr>
              <w:spacing w:line="360" w:lineRule="auto"/>
              <w:jc w:val="center"/>
              <w:rPr>
                <w:rStyle w:val="19"/>
                <w:rFonts w:ascii="宋体" w:hAnsi="宋体" w:eastAsia="宋体" w:cs="宋体"/>
                <w:b/>
              </w:rPr>
            </w:pPr>
            <w:r>
              <w:rPr>
                <w:rFonts w:hint="eastAsia" w:ascii="宋体" w:hAnsi="宋体" w:cs="宋体"/>
                <w:b/>
                <w:bCs/>
                <w:sz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180" w:type="dxa"/>
            <w:shd w:val="clear" w:color="auto" w:fill="auto"/>
            <w:vAlign w:val="center"/>
          </w:tcPr>
          <w:p>
            <w:pPr>
              <w:spacing w:line="360" w:lineRule="auto"/>
              <w:ind w:firstLine="480" w:firstLineChars="200"/>
              <w:jc w:val="left"/>
              <w:rPr>
                <w:rFonts w:ascii="宋体" w:hAnsi="宋体" w:cs="宋体"/>
                <w:sz w:val="24"/>
              </w:rPr>
            </w:pPr>
            <w:r>
              <w:rPr>
                <w:rFonts w:hint="eastAsia" w:ascii="宋体" w:hAnsi="宋体" w:cs="宋体"/>
                <w:sz w:val="24"/>
              </w:rPr>
              <w:t>本次招标要求投标人具有有效企业营业执照，具有中国银行保险监督管理委员会颁发的《保险许可证》，投标人为分支机构的，需持有其具备《保险许可证》的总公司开具的唯一授权书，且总公司及其分支机构不得同时参与投标。</w:t>
            </w:r>
          </w:p>
        </w:tc>
      </w:tr>
    </w:tbl>
    <w:p>
      <w:pPr>
        <w:spacing w:line="360" w:lineRule="auto"/>
        <w:jc w:val="left"/>
        <w:rPr>
          <w:rStyle w:val="19"/>
          <w:rFonts w:ascii="宋体" w:hAnsi="宋体" w:eastAsia="宋体" w:cs="宋体"/>
          <w:b/>
        </w:rPr>
      </w:pPr>
    </w:p>
    <w:p>
      <w:pPr>
        <w:spacing w:line="360" w:lineRule="auto"/>
        <w:jc w:val="left"/>
        <w:rPr>
          <w:rStyle w:val="18"/>
          <w:rFonts w:ascii="宋体" w:hAnsi="宋体" w:eastAsia="宋体" w:cs="宋体"/>
          <w:b/>
        </w:rPr>
      </w:pPr>
    </w:p>
    <w:p>
      <w:pPr>
        <w:spacing w:line="360" w:lineRule="auto"/>
        <w:jc w:val="center"/>
        <w:rPr>
          <w:rStyle w:val="18"/>
          <w:rFonts w:ascii="宋体" w:hAnsi="宋体" w:eastAsia="宋体" w:cs="宋体"/>
          <w:b/>
        </w:rPr>
      </w:pPr>
      <w:r>
        <w:rPr>
          <w:rStyle w:val="18"/>
          <w:rFonts w:hint="eastAsia" w:ascii="宋体" w:hAnsi="宋体" w:eastAsia="宋体" w:cs="宋体"/>
        </w:rPr>
        <w:t xml:space="preserve">附录2  </w:t>
      </w:r>
      <w:r>
        <w:rPr>
          <w:rStyle w:val="19"/>
          <w:rFonts w:hint="eastAsia" w:ascii="宋体" w:hAnsi="宋体" w:eastAsia="宋体" w:cs="宋体"/>
        </w:rPr>
        <w:t xml:space="preserve">  </w:t>
      </w:r>
      <w:r>
        <w:rPr>
          <w:rStyle w:val="18"/>
          <w:rFonts w:hint="eastAsia" w:ascii="宋体" w:hAnsi="宋体" w:eastAsia="宋体" w:cs="宋体"/>
        </w:rPr>
        <w:t>资格审查条件（</w:t>
      </w:r>
      <w:r>
        <w:rPr>
          <w:rFonts w:hint="eastAsia" w:ascii="宋体" w:hAnsi="宋体" w:cs="宋体"/>
          <w:sz w:val="24"/>
        </w:rPr>
        <w:t>业绩最低要求</w:t>
      </w:r>
      <w:r>
        <w:rPr>
          <w:rStyle w:val="18"/>
          <w:rFonts w:hint="eastAsia" w:ascii="宋体" w:hAnsi="宋体" w:eastAsia="宋体" w:cs="宋体"/>
        </w:rPr>
        <w:t>）</w:t>
      </w:r>
    </w:p>
    <w:tbl>
      <w:tblPr>
        <w:tblStyle w:val="10"/>
        <w:tblpPr w:leftFromText="180" w:rightFromText="180" w:vertAnchor="text" w:horzAnchor="margin" w:tblpXSpec="center" w:tblpY="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9322" w:type="dxa"/>
            <w:vAlign w:val="center"/>
          </w:tcPr>
          <w:p>
            <w:pPr>
              <w:spacing w:line="360" w:lineRule="auto"/>
              <w:jc w:val="center"/>
              <w:rPr>
                <w:rFonts w:ascii="宋体" w:hAnsi="宋体" w:cs="宋体"/>
                <w:b/>
                <w:bCs/>
                <w:sz w:val="24"/>
              </w:rPr>
            </w:pPr>
            <w:r>
              <w:rPr>
                <w:rFonts w:hint="eastAsia" w:ascii="宋体" w:hAnsi="宋体" w:cs="宋体"/>
                <w:b/>
                <w:bCs/>
                <w:sz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322" w:type="dxa"/>
            <w:vAlign w:val="center"/>
          </w:tcPr>
          <w:p>
            <w:pPr>
              <w:pStyle w:val="23"/>
              <w:spacing w:line="360" w:lineRule="auto"/>
              <w:ind w:firstLineChars="0"/>
              <w:rPr>
                <w:rFonts w:ascii="宋体" w:hAnsi="宋体" w:cs="宋体"/>
                <w:sz w:val="24"/>
                <w:szCs w:val="24"/>
              </w:rPr>
            </w:pPr>
            <w:r>
              <w:rPr>
                <w:rFonts w:hint="eastAsia" w:ascii="宋体" w:hAnsi="宋体" w:cs="宋体"/>
                <w:kern w:val="0"/>
                <w:sz w:val="24"/>
                <w:szCs w:val="24"/>
                <w:shd w:val="clear" w:color="auto" w:fill="FFFFFF" w:themeFill="background1"/>
                <w:lang w:val="zh-TW" w:eastAsia="zh-TW"/>
              </w:rPr>
              <w:t>近3年内（2020年</w:t>
            </w:r>
            <w:r>
              <w:rPr>
                <w:rFonts w:ascii="宋体" w:hAnsi="宋体" w:cs="宋体"/>
                <w:kern w:val="0"/>
                <w:sz w:val="24"/>
                <w:szCs w:val="24"/>
                <w:shd w:val="clear" w:color="auto" w:fill="FFFFFF" w:themeFill="background1"/>
                <w:lang w:val="zh-TW" w:eastAsia="zh-TW"/>
              </w:rPr>
              <w:t>4</w:t>
            </w:r>
            <w:r>
              <w:rPr>
                <w:rFonts w:hint="eastAsia" w:ascii="宋体" w:hAnsi="宋体" w:cs="宋体"/>
                <w:kern w:val="0"/>
                <w:sz w:val="24"/>
                <w:szCs w:val="24"/>
                <w:shd w:val="clear" w:color="auto" w:fill="FFFFFF" w:themeFill="background1"/>
                <w:lang w:val="zh-TW" w:eastAsia="zh-TW"/>
              </w:rPr>
              <w:t>月1日至投标截止时间，以合同签订时间为准）至少承保过一个</w:t>
            </w:r>
            <w:r>
              <w:rPr>
                <w:rFonts w:ascii="宋体" w:hAnsi="宋体" w:cs="宋体"/>
                <w:kern w:val="0"/>
                <w:sz w:val="24"/>
                <w:szCs w:val="24"/>
                <w:shd w:val="clear" w:color="auto" w:fill="FFFFFF" w:themeFill="background1"/>
                <w:lang w:val="zh-TW" w:eastAsia="zh-TW"/>
              </w:rPr>
              <w:t>20亿元</w:t>
            </w:r>
            <w:r>
              <w:rPr>
                <w:rFonts w:hint="eastAsia" w:ascii="宋体" w:hAnsi="宋体" w:cs="宋体"/>
                <w:kern w:val="0"/>
                <w:sz w:val="24"/>
                <w:szCs w:val="24"/>
                <w:shd w:val="clear" w:color="auto" w:fill="FFFFFF" w:themeFill="background1"/>
                <w:lang w:val="zh-TW" w:eastAsia="zh-TW"/>
              </w:rPr>
              <w:t>及以上的高速公路财产一切险保险业绩</w:t>
            </w:r>
            <w:r>
              <w:rPr>
                <w:rFonts w:hint="eastAsia" w:ascii="宋体" w:hAnsi="宋体" w:cs="宋体"/>
                <w:kern w:val="0"/>
                <w:sz w:val="24"/>
                <w:szCs w:val="24"/>
                <w:shd w:val="clear" w:color="auto" w:fill="FFFFFF" w:themeFill="background1"/>
                <w:lang w:val="zh-TW"/>
              </w:rPr>
              <w:t>。注：</w:t>
            </w:r>
            <w:r>
              <w:rPr>
                <w:rFonts w:hint="eastAsia" w:ascii="宋体" w:hAnsi="宋体" w:cs="宋体"/>
                <w:kern w:val="0"/>
                <w:sz w:val="24"/>
                <w:szCs w:val="24"/>
                <w:shd w:val="clear" w:color="auto" w:fill="FFFFFF" w:themeFill="background1"/>
                <w:lang w:val="zh-TW" w:eastAsia="zh-TW"/>
              </w:rPr>
              <w:t>以联合体形式投标的，联合体所有成员业绩金额累加计算，联合体牵头人须至少承保过一个</w:t>
            </w:r>
            <w:r>
              <w:rPr>
                <w:rFonts w:ascii="宋体" w:hAnsi="宋体" w:cs="宋体"/>
                <w:kern w:val="0"/>
                <w:sz w:val="24"/>
                <w:szCs w:val="24"/>
                <w:shd w:val="clear" w:color="auto" w:fill="FFFFFF" w:themeFill="background1"/>
                <w:lang w:val="zh-TW" w:eastAsia="zh-TW"/>
              </w:rPr>
              <w:t>10亿元</w:t>
            </w:r>
            <w:r>
              <w:rPr>
                <w:rFonts w:hint="eastAsia" w:ascii="宋体" w:hAnsi="宋体" w:cs="宋体"/>
                <w:kern w:val="0"/>
                <w:sz w:val="24"/>
                <w:szCs w:val="24"/>
                <w:shd w:val="clear" w:color="auto" w:fill="FFFFFF" w:themeFill="background1"/>
                <w:lang w:val="zh-TW" w:eastAsia="zh-TW"/>
              </w:rPr>
              <w:t>及以上的高速公路财产一切险保险业绩。</w:t>
            </w:r>
          </w:p>
        </w:tc>
      </w:tr>
    </w:tbl>
    <w:p>
      <w:pPr>
        <w:spacing w:line="360" w:lineRule="auto"/>
        <w:jc w:val="left"/>
        <w:rPr>
          <w:rStyle w:val="19"/>
          <w:rFonts w:ascii="宋体" w:hAnsi="宋体" w:eastAsia="宋体" w:cs="宋体"/>
        </w:rPr>
      </w:pPr>
    </w:p>
    <w:p>
      <w:pPr>
        <w:spacing w:line="360" w:lineRule="auto"/>
        <w:jc w:val="left"/>
        <w:rPr>
          <w:rStyle w:val="19"/>
          <w:rFonts w:ascii="宋体" w:hAnsi="宋体" w:eastAsia="宋体" w:cs="宋体"/>
        </w:rPr>
      </w:pPr>
    </w:p>
    <w:p>
      <w:pPr>
        <w:spacing w:line="360" w:lineRule="auto"/>
        <w:ind w:firstLine="2400" w:firstLineChars="1000"/>
        <w:jc w:val="left"/>
        <w:rPr>
          <w:rStyle w:val="19"/>
          <w:rFonts w:ascii="宋体" w:hAnsi="宋体" w:eastAsia="宋体" w:cs="宋体"/>
          <w:b/>
        </w:rPr>
      </w:pPr>
      <w:r>
        <w:rPr>
          <w:rStyle w:val="18"/>
          <w:rFonts w:hint="eastAsia" w:ascii="宋体" w:hAnsi="宋体" w:eastAsia="宋体" w:cs="宋体"/>
        </w:rPr>
        <w:t xml:space="preserve">附录3  </w:t>
      </w:r>
      <w:r>
        <w:rPr>
          <w:rStyle w:val="19"/>
          <w:rFonts w:hint="eastAsia" w:ascii="宋体" w:hAnsi="宋体" w:eastAsia="宋体" w:cs="宋体"/>
        </w:rPr>
        <w:t xml:space="preserve">  资格审查条件（信誉最低要求）</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shd w:val="clear" w:color="auto" w:fill="auto"/>
          </w:tcPr>
          <w:p>
            <w:pPr>
              <w:spacing w:line="360" w:lineRule="auto"/>
              <w:jc w:val="center"/>
              <w:rPr>
                <w:rStyle w:val="19"/>
                <w:rFonts w:ascii="宋体" w:hAnsi="宋体" w:eastAsia="宋体" w:cs="宋体"/>
              </w:rPr>
            </w:pPr>
            <w:r>
              <w:rPr>
                <w:rFonts w:hint="eastAsia" w:ascii="宋体" w:hAnsi="宋体" w:cs="宋体"/>
                <w:b/>
                <w:bCs/>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6" w:type="dxa"/>
            <w:shd w:val="clear" w:color="auto" w:fill="auto"/>
          </w:tcPr>
          <w:p>
            <w:pPr>
              <w:spacing w:line="360" w:lineRule="auto"/>
              <w:ind w:firstLine="480" w:firstLineChars="200"/>
              <w:rPr>
                <w:rFonts w:ascii="宋体" w:hAnsi="宋体" w:cs="宋体"/>
                <w:sz w:val="24"/>
              </w:rPr>
            </w:pPr>
            <w:r>
              <w:rPr>
                <w:rFonts w:hint="eastAsia" w:ascii="宋体" w:hAnsi="宋体" w:cs="宋体"/>
                <w:sz w:val="24"/>
              </w:rPr>
              <w:t>投标人（联合体所有成员）在国家企业信用信息公示系统（http://www.gsxt.gov.cn/)中被列入严重违法失信名单的、在“信用中国”网站（http://www.creditchina.gov.cn/)中被列入失信被执行人、经营异常名录信息、重大税收违法失信主体和政府采购严重违法失信行为记录名单，不得参加投标。</w:t>
            </w:r>
          </w:p>
          <w:p>
            <w:pPr>
              <w:spacing w:line="360" w:lineRule="auto"/>
              <w:ind w:firstLine="480" w:firstLineChars="200"/>
              <w:rPr>
                <w:rFonts w:ascii="宋体" w:hAnsi="宋体" w:cs="宋体"/>
                <w:sz w:val="24"/>
              </w:rPr>
            </w:pPr>
            <w:r>
              <w:rPr>
                <w:rFonts w:hint="eastAsia" w:ascii="宋体" w:hAnsi="宋体" w:cs="宋体"/>
                <w:sz w:val="24"/>
              </w:rPr>
              <w:t>投标人或其企业负责人在近三年内（2020年4月1日至今）有行贿犯罪行为的，不得参加投标。</w:t>
            </w:r>
          </w:p>
          <w:p>
            <w:pPr>
              <w:spacing w:line="360" w:lineRule="auto"/>
              <w:ind w:firstLine="480" w:firstLineChars="200"/>
              <w:rPr>
                <w:rFonts w:ascii="宋体" w:hAnsi="宋体" w:cs="宋体"/>
                <w:sz w:val="24"/>
              </w:rPr>
            </w:pPr>
            <w:r>
              <w:rPr>
                <w:rFonts w:hint="eastAsia" w:ascii="宋体" w:hAnsi="宋体" w:cs="宋体"/>
                <w:sz w:val="24"/>
              </w:rPr>
              <w:t>投标人在近1年内(2022年4月1日至)不曾在高速公路保险服务合同中因违约被驱逐或因投标人自身的原因而使合同被解除。</w:t>
            </w:r>
          </w:p>
        </w:tc>
      </w:tr>
    </w:tbl>
    <w:p>
      <w:pPr>
        <w:spacing w:line="360" w:lineRule="auto"/>
        <w:jc w:val="left"/>
        <w:rPr>
          <w:rStyle w:val="19"/>
          <w:rFonts w:ascii="宋体" w:hAnsi="宋体" w:eastAsia="宋体" w:cs="宋体"/>
        </w:rPr>
      </w:pPr>
      <w:r>
        <w:rPr>
          <w:rFonts w:hint="eastAsia" w:ascii="宋体" w:hAnsi="宋体" w:cs="宋体"/>
        </w:rPr>
        <w:br w:type="page"/>
      </w:r>
    </w:p>
    <w:p>
      <w:pPr>
        <w:pStyle w:val="9"/>
        <w:rPr>
          <w:rFonts w:ascii="宋体" w:hAnsi="宋体" w:cs="宋体"/>
        </w:rPr>
      </w:pPr>
      <w:r>
        <w:rPr>
          <w:rFonts w:hint="eastAsia" w:ascii="宋体" w:hAnsi="宋体" w:cs="宋体"/>
        </w:rPr>
        <w:t>附件2：评标办法（综合评估法）</w:t>
      </w:r>
    </w:p>
    <w:p>
      <w:pPr>
        <w:autoSpaceDE w:val="0"/>
        <w:autoSpaceDN w:val="0"/>
        <w:adjustRightInd w:val="0"/>
        <w:snapToGrid w:val="0"/>
        <w:spacing w:line="360" w:lineRule="auto"/>
        <w:ind w:right="113"/>
        <w:rPr>
          <w:rFonts w:ascii="宋体" w:hAnsi="宋体" w:cs="宋体"/>
          <w:b/>
          <w:bCs/>
          <w:sz w:val="24"/>
          <w:szCs w:val="32"/>
        </w:rPr>
      </w:pPr>
      <w:bookmarkStart w:id="0" w:name="_Hlk132015058"/>
      <w:r>
        <w:rPr>
          <w:rFonts w:hint="eastAsia" w:ascii="宋体" w:hAnsi="宋体" w:cs="宋体"/>
          <w:b/>
          <w:bCs/>
          <w:sz w:val="24"/>
          <w:szCs w:val="32"/>
        </w:rPr>
        <w:t>评标办法前附表</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77"/>
        <w:gridCol w:w="1240"/>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317" w:type="dxa"/>
            <w:gridSpan w:val="2"/>
            <w:vAlign w:val="center"/>
          </w:tcPr>
          <w:p>
            <w:pPr>
              <w:adjustRightInd w:val="0"/>
              <w:snapToGrid w:val="0"/>
              <w:jc w:val="center"/>
              <w:rPr>
                <w:rFonts w:ascii="宋体" w:hAnsi="宋体" w:cs="宋体"/>
                <w:b/>
                <w:szCs w:val="21"/>
              </w:rPr>
            </w:pPr>
            <w:r>
              <w:rPr>
                <w:rFonts w:hint="eastAsia" w:ascii="宋体" w:hAnsi="宋体" w:cs="宋体"/>
                <w:b/>
                <w:szCs w:val="21"/>
              </w:rPr>
              <w:t>条款号</w:t>
            </w:r>
          </w:p>
        </w:tc>
        <w:tc>
          <w:tcPr>
            <w:tcW w:w="6754" w:type="dxa"/>
            <w:vAlign w:val="center"/>
          </w:tcPr>
          <w:p>
            <w:pPr>
              <w:adjustRightInd w:val="0"/>
              <w:snapToGrid w:val="0"/>
              <w:jc w:val="center"/>
              <w:rPr>
                <w:rFonts w:ascii="宋体" w:hAnsi="宋体" w:cs="宋体"/>
                <w:b/>
                <w:szCs w:val="21"/>
              </w:rPr>
            </w:pPr>
            <w:r>
              <w:rPr>
                <w:rFonts w:hint="eastAsia" w:ascii="宋体" w:hAnsi="宋体" w:cs="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077" w:type="dxa"/>
            <w:vAlign w:val="center"/>
          </w:tcPr>
          <w:p>
            <w:pPr>
              <w:jc w:val="center"/>
              <w:rPr>
                <w:rFonts w:ascii="宋体" w:hAnsi="宋体" w:cs="宋体"/>
                <w:b/>
                <w:szCs w:val="21"/>
              </w:rPr>
            </w:pPr>
            <w:r>
              <w:rPr>
                <w:rFonts w:hint="eastAsia" w:ascii="宋体" w:hAnsi="宋体" w:cs="宋体"/>
                <w:bCs/>
                <w:szCs w:val="21"/>
              </w:rPr>
              <w:t>1</w:t>
            </w:r>
          </w:p>
        </w:tc>
        <w:tc>
          <w:tcPr>
            <w:tcW w:w="1240" w:type="dxa"/>
            <w:vAlign w:val="center"/>
          </w:tcPr>
          <w:p>
            <w:pPr>
              <w:jc w:val="center"/>
              <w:rPr>
                <w:rFonts w:ascii="宋体" w:hAnsi="宋体" w:cs="宋体"/>
                <w:b/>
                <w:szCs w:val="21"/>
              </w:rPr>
            </w:pPr>
            <w:r>
              <w:rPr>
                <w:rFonts w:hint="eastAsia" w:ascii="宋体" w:hAnsi="宋体" w:cs="宋体"/>
                <w:szCs w:val="21"/>
              </w:rPr>
              <w:t>评标办法</w:t>
            </w:r>
          </w:p>
        </w:tc>
        <w:tc>
          <w:tcPr>
            <w:tcW w:w="6754" w:type="dxa"/>
            <w:vAlign w:val="center"/>
          </w:tcPr>
          <w:p>
            <w:pPr>
              <w:snapToGrid w:val="0"/>
              <w:ind w:firstLine="420" w:firstLineChars="200"/>
              <w:jc w:val="left"/>
              <w:textAlignment w:val="baseline"/>
              <w:rPr>
                <w:rFonts w:ascii="宋体" w:hAnsi="宋体" w:cs="宋体"/>
                <w:szCs w:val="21"/>
              </w:rPr>
            </w:pPr>
            <w:bookmarkStart w:id="1" w:name="_Hlk132015087"/>
            <w:r>
              <w:rPr>
                <w:rFonts w:hint="eastAsia" w:ascii="宋体" w:hAnsi="宋体" w:cs="宋体"/>
                <w:szCs w:val="21"/>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ind w:firstLine="420" w:firstLineChars="200"/>
              <w:rPr>
                <w:rFonts w:ascii="宋体" w:hAnsi="宋体" w:cs="宋体"/>
                <w:szCs w:val="21"/>
              </w:rPr>
            </w:pPr>
            <w:r>
              <w:rPr>
                <w:rFonts w:hint="eastAsia" w:ascii="宋体" w:hAnsi="宋体" w:cs="宋体"/>
                <w:szCs w:val="21"/>
              </w:rPr>
              <w:t>（1）服务方案得分较高的投标人优先；</w:t>
            </w:r>
          </w:p>
          <w:p>
            <w:pPr>
              <w:adjustRightInd w:val="0"/>
              <w:snapToGrid w:val="0"/>
              <w:ind w:firstLine="420" w:firstLineChars="200"/>
              <w:rPr>
                <w:rFonts w:ascii="宋体" w:hAnsi="宋体" w:cs="宋体"/>
                <w:szCs w:val="21"/>
              </w:rPr>
            </w:pPr>
            <w:r>
              <w:rPr>
                <w:rFonts w:hint="eastAsia" w:ascii="宋体" w:hAnsi="宋体" w:cs="宋体"/>
                <w:szCs w:val="21"/>
              </w:rPr>
              <w:t>（2）保险费率低的投标人优先；</w:t>
            </w:r>
          </w:p>
          <w:p>
            <w:pPr>
              <w:adjustRightInd w:val="0"/>
              <w:snapToGrid w:val="0"/>
              <w:ind w:firstLine="420" w:firstLineChars="200"/>
              <w:rPr>
                <w:rFonts w:ascii="宋体" w:hAnsi="宋体" w:cs="宋体"/>
                <w:szCs w:val="21"/>
              </w:rPr>
            </w:pPr>
            <w:r>
              <w:rPr>
                <w:rFonts w:hint="eastAsia" w:ascii="宋体" w:hAnsi="宋体" w:cs="宋体"/>
                <w:szCs w:val="21"/>
              </w:rPr>
              <w:t>（3）投标人满足资格审查条件(业绩最低条件)要求的业绩数量多的优先。</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2.1.1</w:t>
            </w:r>
          </w:p>
          <w:p>
            <w:pPr>
              <w:adjustRightInd w:val="0"/>
              <w:snapToGrid w:val="0"/>
              <w:jc w:val="center"/>
              <w:rPr>
                <w:rFonts w:ascii="宋体" w:hAnsi="宋体" w:cs="宋体"/>
                <w:szCs w:val="21"/>
              </w:rPr>
            </w:pPr>
            <w:r>
              <w:rPr>
                <w:rFonts w:hint="eastAsia" w:ascii="宋体" w:hAnsi="宋体" w:cs="宋体"/>
                <w:szCs w:val="21"/>
              </w:rPr>
              <w:t>2.1.3</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形式评审与响应性评审标准</w:t>
            </w:r>
          </w:p>
        </w:tc>
        <w:tc>
          <w:tcPr>
            <w:tcW w:w="6754" w:type="dxa"/>
          </w:tcPr>
          <w:p>
            <w:pPr>
              <w:snapToGrid w:val="0"/>
              <w:ind w:firstLine="210" w:firstLineChars="100"/>
              <w:rPr>
                <w:rFonts w:ascii="宋体" w:hAnsi="宋体" w:cs="宋体"/>
                <w:szCs w:val="21"/>
              </w:rPr>
            </w:pPr>
            <w:r>
              <w:rPr>
                <w:rFonts w:hint="eastAsia" w:ascii="宋体" w:hAnsi="宋体" w:cs="宋体"/>
                <w:szCs w:val="21"/>
              </w:rPr>
              <w:t>（1）投标文件按照招标文件规定的格式、内容填写，字迹清晰可辨：</w:t>
            </w:r>
          </w:p>
          <w:p>
            <w:pPr>
              <w:snapToGrid w:val="0"/>
              <w:ind w:left="420" w:leftChars="200"/>
              <w:rPr>
                <w:rFonts w:ascii="宋体" w:hAnsi="宋体" w:cs="宋体"/>
                <w:szCs w:val="21"/>
              </w:rPr>
            </w:pPr>
            <w:r>
              <w:rPr>
                <w:rFonts w:hint="eastAsia" w:ascii="宋体" w:hAnsi="宋体" w:cs="宋体"/>
                <w:szCs w:val="21"/>
              </w:rPr>
              <w:t>a.投标函按招标文件规定填报了报价、补遗书编号（如有）；</w:t>
            </w:r>
          </w:p>
          <w:p>
            <w:pPr>
              <w:snapToGrid w:val="0"/>
              <w:ind w:left="420" w:leftChars="200"/>
              <w:rPr>
                <w:rFonts w:ascii="宋体" w:hAnsi="宋体" w:cs="宋体"/>
                <w:szCs w:val="21"/>
              </w:rPr>
            </w:pPr>
            <w:r>
              <w:rPr>
                <w:rFonts w:hint="eastAsia" w:ascii="宋体" w:hAnsi="宋体" w:cs="宋体"/>
                <w:szCs w:val="21"/>
              </w:rPr>
              <w:t>b.投标文件组成齐全完整，内容均按规定填写。</w:t>
            </w:r>
          </w:p>
          <w:p>
            <w:pPr>
              <w:snapToGrid w:val="0"/>
              <w:ind w:firstLine="210" w:firstLineChars="100"/>
              <w:rPr>
                <w:rFonts w:ascii="宋体" w:hAnsi="宋体" w:cs="宋体"/>
                <w:szCs w:val="21"/>
              </w:rPr>
            </w:pPr>
            <w:r>
              <w:rPr>
                <w:rFonts w:hint="eastAsia" w:ascii="宋体" w:hAnsi="宋体" w:cs="宋体"/>
                <w:szCs w:val="21"/>
              </w:rPr>
              <w:t>（2）投标文件上企业负责人或其委托代理人的签字、投标人的单位章盖章齐全，符合招标文件规定。</w:t>
            </w:r>
          </w:p>
          <w:p>
            <w:pPr>
              <w:snapToGrid w:val="0"/>
              <w:ind w:firstLine="210" w:firstLineChars="100"/>
              <w:rPr>
                <w:rFonts w:ascii="宋体" w:hAnsi="宋体" w:cs="宋体"/>
                <w:szCs w:val="21"/>
              </w:rPr>
            </w:pPr>
            <w:r>
              <w:rPr>
                <w:rFonts w:hint="eastAsia" w:ascii="宋体" w:hAnsi="宋体" w:cs="宋体"/>
                <w:szCs w:val="21"/>
              </w:rPr>
              <w:t>（3）投标人按照招标文件的规定提供了投标保证金：</w:t>
            </w:r>
          </w:p>
          <w:p>
            <w:pPr>
              <w:snapToGrid w:val="0"/>
              <w:ind w:firstLine="420" w:firstLineChars="200"/>
              <w:rPr>
                <w:rFonts w:ascii="宋体" w:hAnsi="宋体" w:cs="宋体"/>
                <w:szCs w:val="21"/>
              </w:rPr>
            </w:pPr>
            <w:r>
              <w:rPr>
                <w:rFonts w:hint="eastAsia" w:ascii="宋体" w:hAnsi="宋体" w:cs="宋体"/>
                <w:szCs w:val="21"/>
              </w:rPr>
              <w:t>a.投标保证金金额符合招标文件规定的金额，且投标保证金有效期不少于投标有效期；</w:t>
            </w:r>
          </w:p>
          <w:p>
            <w:pPr>
              <w:snapToGrid w:val="0"/>
              <w:ind w:firstLine="420" w:firstLineChars="200"/>
              <w:rPr>
                <w:rFonts w:ascii="宋体" w:hAnsi="宋体" w:cs="宋体"/>
                <w:szCs w:val="21"/>
              </w:rPr>
            </w:pPr>
            <w:r>
              <w:rPr>
                <w:rFonts w:hint="eastAsia" w:ascii="宋体" w:hAnsi="宋体" w:cs="宋体"/>
                <w:szCs w:val="21"/>
              </w:rPr>
              <w:t>b.若投标保证金采用电汇或转账形式提交，投标人应在递交投标文件截止时间之前，将投标保证金由投标人的基本账户转入招标人指定账户；</w:t>
            </w:r>
          </w:p>
          <w:p>
            <w:pPr>
              <w:snapToGrid w:val="0"/>
              <w:ind w:firstLine="420" w:firstLineChars="200"/>
              <w:rPr>
                <w:rFonts w:ascii="宋体" w:hAnsi="宋体" w:cs="宋体"/>
                <w:szCs w:val="21"/>
              </w:rPr>
            </w:pPr>
            <w:r>
              <w:rPr>
                <w:rFonts w:hint="eastAsia" w:ascii="宋体" w:hAnsi="宋体" w:cs="宋体"/>
                <w:szCs w:val="21"/>
              </w:rPr>
              <w:t>c.若投标保证金采用银行保函形式提交，银行保函的格式、开具保函的银行均满足招标文件要求，且在递交投标文件截止时间之前向招标人提交了银行保函原件。</w:t>
            </w:r>
          </w:p>
          <w:p>
            <w:pPr>
              <w:snapToGrid w:val="0"/>
              <w:ind w:firstLine="210" w:firstLineChars="100"/>
              <w:rPr>
                <w:rFonts w:ascii="宋体" w:hAnsi="宋体" w:cs="宋体"/>
                <w:szCs w:val="21"/>
              </w:rPr>
            </w:pPr>
            <w:r>
              <w:rPr>
                <w:rFonts w:hint="eastAsia" w:ascii="宋体" w:hAnsi="宋体" w:cs="宋体"/>
                <w:szCs w:val="21"/>
              </w:rPr>
              <w:t xml:space="preserve">（4）投标人企业负责人授权委托代理人签署投标文件的，须提交授权委托书，授权委托书的签字盖章符合招标文件规定。 </w:t>
            </w:r>
          </w:p>
          <w:p>
            <w:pPr>
              <w:snapToGrid w:val="0"/>
              <w:ind w:firstLine="210" w:firstLineChars="100"/>
              <w:rPr>
                <w:rFonts w:ascii="宋体" w:hAnsi="宋体" w:cs="宋体"/>
                <w:szCs w:val="21"/>
              </w:rPr>
            </w:pPr>
            <w:r>
              <w:rPr>
                <w:rFonts w:hint="eastAsia" w:ascii="宋体" w:hAnsi="宋体" w:cs="宋体"/>
                <w:szCs w:val="21"/>
              </w:rPr>
              <w:t>（5）投标人企业负责人亲自签署投标文件的，提供了企业负责人身份证明，企业负责人身份证明的签字盖章符合招标文件规定。</w:t>
            </w:r>
          </w:p>
          <w:p>
            <w:pPr>
              <w:tabs>
                <w:tab w:val="left" w:pos="3060"/>
              </w:tabs>
              <w:ind w:firstLine="210" w:firstLineChars="10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采用联合体投标的应</w:t>
            </w:r>
            <w:r>
              <w:rPr>
                <w:rFonts w:ascii="宋体" w:hAnsi="宋体" w:cs="宋体"/>
                <w:szCs w:val="21"/>
              </w:rPr>
              <w:t>提交联合体协议书，并明确联合体牵头</w:t>
            </w:r>
            <w:r>
              <w:rPr>
                <w:rFonts w:hint="eastAsia" w:ascii="宋体" w:hAnsi="宋体" w:cs="宋体"/>
                <w:szCs w:val="21"/>
              </w:rPr>
              <w:t>人等招标文件关于联合体的有关要求。</w:t>
            </w:r>
          </w:p>
          <w:p>
            <w:pPr>
              <w:tabs>
                <w:tab w:val="left" w:pos="3060"/>
              </w:tabs>
              <w:ind w:firstLine="210" w:firstLineChars="100"/>
              <w:rPr>
                <w:rFonts w:ascii="宋体" w:hAnsi="宋体" w:cs="宋体"/>
                <w:szCs w:val="21"/>
              </w:rPr>
            </w:pPr>
            <w:r>
              <w:rPr>
                <w:rFonts w:hint="eastAsia" w:ascii="宋体" w:hAnsi="宋体" w:cs="宋体"/>
                <w:szCs w:val="21"/>
              </w:rPr>
              <w:t>（7）投标人未对本项目提出分包计划。</w:t>
            </w:r>
          </w:p>
          <w:p>
            <w:pPr>
              <w:tabs>
                <w:tab w:val="left" w:pos="3060"/>
              </w:tabs>
              <w:ind w:firstLine="210" w:firstLineChars="100"/>
              <w:rPr>
                <w:rFonts w:ascii="宋体" w:hAnsi="宋体" w:cs="宋体"/>
                <w:szCs w:val="21"/>
              </w:rPr>
            </w:pPr>
            <w:r>
              <w:rPr>
                <w:rFonts w:hint="eastAsia" w:ascii="宋体" w:hAnsi="宋体" w:cs="宋体"/>
                <w:szCs w:val="21"/>
              </w:rPr>
              <w:t>（8）同一投标人未提交两个以上不同的投标文件。</w:t>
            </w:r>
          </w:p>
          <w:p>
            <w:pPr>
              <w:tabs>
                <w:tab w:val="left" w:pos="3060"/>
              </w:tabs>
              <w:ind w:firstLine="210" w:firstLineChars="100"/>
              <w:rPr>
                <w:rFonts w:ascii="宋体" w:hAnsi="宋体" w:cs="宋体"/>
                <w:szCs w:val="21"/>
              </w:rPr>
            </w:pPr>
            <w:r>
              <w:rPr>
                <w:rFonts w:hint="eastAsia" w:ascii="宋体" w:hAnsi="宋体" w:cs="宋体"/>
                <w:szCs w:val="21"/>
              </w:rPr>
              <w:t>（9）投标文件载明的招标项目服务期限符合招标文件规定。</w:t>
            </w:r>
          </w:p>
          <w:p>
            <w:pPr>
              <w:tabs>
                <w:tab w:val="left" w:pos="3060"/>
              </w:tabs>
              <w:ind w:firstLine="210" w:firstLineChars="100"/>
              <w:rPr>
                <w:rFonts w:ascii="宋体" w:hAnsi="宋体" w:cs="宋体"/>
                <w:szCs w:val="21"/>
              </w:rPr>
            </w:pPr>
            <w:r>
              <w:rPr>
                <w:rFonts w:hint="eastAsia" w:ascii="宋体" w:hAnsi="宋体" w:cs="宋体"/>
                <w:szCs w:val="21"/>
              </w:rPr>
              <w:t>（10）投标文件对招标文件的实质性要求和条件作出响应。</w:t>
            </w:r>
          </w:p>
          <w:p>
            <w:pPr>
              <w:tabs>
                <w:tab w:val="left" w:pos="3060"/>
              </w:tabs>
              <w:ind w:firstLine="210" w:firstLineChars="100"/>
              <w:rPr>
                <w:rFonts w:ascii="宋体" w:hAnsi="宋体" w:cs="宋体"/>
                <w:szCs w:val="21"/>
              </w:rPr>
            </w:pPr>
            <w:r>
              <w:rPr>
                <w:rFonts w:hint="eastAsia" w:ascii="宋体" w:hAnsi="宋体" w:cs="宋体"/>
                <w:szCs w:val="21"/>
              </w:rPr>
              <w:t>（11）权利义务符合招标文件规定：</w:t>
            </w:r>
          </w:p>
          <w:p>
            <w:pPr>
              <w:tabs>
                <w:tab w:val="left" w:pos="3060"/>
              </w:tabs>
              <w:ind w:left="210" w:leftChars="100" w:firstLine="210" w:firstLineChars="100"/>
              <w:rPr>
                <w:rFonts w:ascii="宋体" w:hAnsi="宋体" w:cs="宋体"/>
                <w:szCs w:val="21"/>
              </w:rPr>
            </w:pPr>
            <w:r>
              <w:rPr>
                <w:rFonts w:hint="eastAsia" w:ascii="宋体" w:hAnsi="宋体" w:cs="宋体"/>
                <w:szCs w:val="21"/>
              </w:rPr>
              <w:t>a.投标人应接受招标文件规定的风险划分原则，未提出新的风险划分办法；</w:t>
            </w:r>
          </w:p>
          <w:p>
            <w:pPr>
              <w:tabs>
                <w:tab w:val="left" w:pos="3060"/>
              </w:tabs>
              <w:ind w:left="210" w:leftChars="100" w:firstLine="210" w:firstLineChars="100"/>
              <w:rPr>
                <w:rFonts w:ascii="宋体" w:hAnsi="宋体" w:cs="宋体"/>
                <w:szCs w:val="21"/>
              </w:rPr>
            </w:pPr>
            <w:r>
              <w:rPr>
                <w:rFonts w:hint="eastAsia" w:ascii="宋体" w:hAnsi="宋体" w:cs="宋体"/>
                <w:szCs w:val="21"/>
              </w:rPr>
              <w:t>b.投标人未增加发包人的责任范围，或减少投标人义务；</w:t>
            </w:r>
          </w:p>
          <w:p>
            <w:pPr>
              <w:tabs>
                <w:tab w:val="left" w:pos="3060"/>
              </w:tabs>
              <w:ind w:left="210" w:leftChars="100" w:firstLine="210" w:firstLineChars="100"/>
              <w:rPr>
                <w:rFonts w:ascii="宋体" w:hAnsi="宋体" w:cs="宋体"/>
                <w:szCs w:val="21"/>
              </w:rPr>
            </w:pPr>
            <w:r>
              <w:rPr>
                <w:rFonts w:hint="eastAsia" w:ascii="宋体" w:hAnsi="宋体" w:cs="宋体"/>
                <w:szCs w:val="21"/>
              </w:rPr>
              <w:t>c.投标人未提出不同的支付办法；</w:t>
            </w:r>
          </w:p>
          <w:p>
            <w:pPr>
              <w:tabs>
                <w:tab w:val="left" w:pos="3060"/>
              </w:tabs>
              <w:ind w:left="210" w:leftChars="100" w:firstLine="210" w:firstLineChars="100"/>
              <w:rPr>
                <w:rFonts w:ascii="宋体" w:hAnsi="宋体" w:cs="宋体"/>
                <w:szCs w:val="21"/>
              </w:rPr>
            </w:pPr>
            <w:r>
              <w:rPr>
                <w:rFonts w:hint="eastAsia" w:ascii="宋体" w:hAnsi="宋体" w:cs="宋体"/>
                <w:szCs w:val="21"/>
              </w:rPr>
              <w:t>d.投标人对合同纠纷、事故处理办法未提出异议；</w:t>
            </w:r>
          </w:p>
          <w:p>
            <w:pPr>
              <w:tabs>
                <w:tab w:val="left" w:pos="3060"/>
              </w:tabs>
              <w:ind w:left="210" w:leftChars="100" w:firstLine="210" w:firstLineChars="100"/>
              <w:rPr>
                <w:rFonts w:ascii="宋体" w:hAnsi="宋体" w:cs="宋体"/>
                <w:szCs w:val="21"/>
              </w:rPr>
            </w:pPr>
            <w:r>
              <w:rPr>
                <w:rFonts w:hint="eastAsia" w:ascii="宋体" w:hAnsi="宋体" w:cs="宋体"/>
                <w:szCs w:val="21"/>
              </w:rPr>
              <w:t>e.投标人在投标活动中无欺诈行为；</w:t>
            </w:r>
          </w:p>
          <w:p>
            <w:pPr>
              <w:tabs>
                <w:tab w:val="left" w:pos="3060"/>
              </w:tabs>
              <w:ind w:left="210" w:leftChars="100" w:firstLine="210" w:firstLineChars="100"/>
              <w:rPr>
                <w:rFonts w:ascii="宋体" w:hAnsi="宋体" w:cs="宋体"/>
                <w:szCs w:val="21"/>
              </w:rPr>
            </w:pPr>
            <w:r>
              <w:rPr>
                <w:rFonts w:hint="eastAsia" w:ascii="宋体" w:hAnsi="宋体" w:cs="宋体"/>
                <w:szCs w:val="21"/>
              </w:rPr>
              <w:t>f.投标人未对合同条款有重要保留。</w:t>
            </w:r>
          </w:p>
          <w:p>
            <w:pPr>
              <w:tabs>
                <w:tab w:val="left" w:pos="3060"/>
              </w:tabs>
              <w:ind w:firstLine="210" w:firstLineChars="100"/>
              <w:rPr>
                <w:rFonts w:ascii="宋体" w:hAnsi="宋体" w:cs="宋体"/>
                <w:szCs w:val="21"/>
              </w:rPr>
            </w:pPr>
            <w:r>
              <w:rPr>
                <w:rFonts w:hint="eastAsia" w:ascii="宋体" w:hAnsi="宋体" w:cs="宋体"/>
                <w:szCs w:val="21"/>
              </w:rPr>
              <w:t>(12) 投标人名称与营业执照、保险许可证一致，如企业名称有变更的，应提供其变更记录或相关部门的合法批件复印件。</w:t>
            </w:r>
          </w:p>
          <w:p>
            <w:pPr>
              <w:ind w:firstLine="210" w:firstLineChars="100"/>
              <w:rPr>
                <w:rFonts w:ascii="宋体" w:hAnsi="宋体" w:cs="宋体"/>
                <w:szCs w:val="21"/>
              </w:rPr>
            </w:pPr>
            <w:r>
              <w:rPr>
                <w:rFonts w:hint="eastAsia" w:ascii="宋体" w:hAnsi="宋体" w:cs="宋体"/>
                <w:szCs w:val="21"/>
              </w:rPr>
              <w:t>(13) 投标函中的保险费率未超过</w:t>
            </w:r>
            <w:r>
              <w:rPr>
                <w:rFonts w:ascii="宋体" w:hAnsi="宋体" w:cs="宋体"/>
                <w:szCs w:val="21"/>
              </w:rPr>
              <w:t>2</w:t>
            </w:r>
            <w:r>
              <w:rPr>
                <w:rFonts w:hint="eastAsia" w:ascii="MS Gothic" w:hAnsi="MS Gothic" w:eastAsia="MS Gothic" w:cs="MS Gothic"/>
                <w:szCs w:val="21"/>
              </w:rPr>
              <w:t>‱</w:t>
            </w:r>
            <w:r>
              <w:rPr>
                <w:rFonts w:hint="eastAsia" w:ascii="宋体" w:hAnsi="宋体" w:cs="宋体"/>
                <w:szCs w:val="21"/>
              </w:rPr>
              <w:t>。</w:t>
            </w:r>
          </w:p>
          <w:p>
            <w:pPr>
              <w:tabs>
                <w:tab w:val="left" w:pos="3060"/>
              </w:tabs>
              <w:snapToGrid w:val="0"/>
              <w:ind w:firstLine="210" w:firstLineChars="100"/>
              <w:rPr>
                <w:rFonts w:ascii="宋体" w:hAnsi="宋体" w:cs="宋体"/>
                <w:szCs w:val="21"/>
              </w:rPr>
            </w:pPr>
            <w:r>
              <w:rPr>
                <w:rFonts w:hint="eastAsia" w:ascii="宋体" w:hAnsi="宋体" w:cs="宋体"/>
                <w:szCs w:val="21"/>
              </w:rPr>
              <w:t>(14) 投标函中报价的金额能够确定具体数值。</w:t>
            </w:r>
          </w:p>
          <w:p>
            <w:pPr>
              <w:tabs>
                <w:tab w:val="left" w:pos="3060"/>
              </w:tabs>
              <w:snapToGrid w:val="0"/>
              <w:ind w:firstLine="210" w:firstLineChars="100"/>
              <w:rPr>
                <w:rFonts w:ascii="宋体" w:hAnsi="宋体" w:cs="宋体"/>
                <w:szCs w:val="21"/>
              </w:rPr>
            </w:pPr>
            <w:r>
              <w:rPr>
                <w:rFonts w:hint="eastAsia" w:ascii="宋体" w:hAnsi="宋体" w:cs="宋体"/>
                <w:szCs w:val="21"/>
              </w:rPr>
              <w:t>(15) 同一投标人未提交两个以上不同的保险费率。</w:t>
            </w:r>
          </w:p>
          <w:p>
            <w:pPr>
              <w:tabs>
                <w:tab w:val="left" w:pos="3060"/>
              </w:tabs>
              <w:snapToGrid w:val="0"/>
              <w:ind w:firstLine="210" w:firstLineChars="100"/>
              <w:rPr>
                <w:rFonts w:ascii="宋体" w:hAnsi="宋体" w:cs="宋体"/>
                <w:szCs w:val="21"/>
              </w:rPr>
            </w:pPr>
            <w:r>
              <w:rPr>
                <w:rFonts w:ascii="宋体" w:hAnsi="宋体" w:cs="宋体"/>
                <w:szCs w:val="21"/>
              </w:rPr>
              <w:t>(16)</w:t>
            </w:r>
            <w:r>
              <w:rPr>
                <w:rFonts w:ascii="宋体" w:hAnsi="宋体"/>
                <w:szCs w:val="21"/>
              </w:rPr>
              <w:t xml:space="preserve"> </w:t>
            </w:r>
            <w:r>
              <w:rPr>
                <w:rFonts w:hint="eastAsia" w:ascii="宋体" w:hAnsi="宋体"/>
                <w:szCs w:val="21"/>
              </w:rPr>
              <w:t>投标文件对于合同</w:t>
            </w:r>
            <w:r>
              <w:rPr>
                <w:rFonts w:hint="eastAsia" w:ascii="宋体" w:hAnsi="宋体" w:cs="宋体"/>
                <w:szCs w:val="21"/>
              </w:rPr>
              <w:t>扩展条款的星号（★）条款未发生偏差的。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2.1.2</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资格评审</w:t>
            </w:r>
          </w:p>
          <w:p>
            <w:pPr>
              <w:adjustRightInd w:val="0"/>
              <w:snapToGrid w:val="0"/>
              <w:jc w:val="center"/>
              <w:rPr>
                <w:rFonts w:ascii="宋体" w:hAnsi="宋体" w:cs="宋体"/>
                <w:szCs w:val="21"/>
              </w:rPr>
            </w:pPr>
            <w:r>
              <w:rPr>
                <w:rFonts w:hint="eastAsia" w:ascii="宋体" w:hAnsi="宋体" w:cs="宋体"/>
                <w:szCs w:val="21"/>
              </w:rPr>
              <w:t>标准</w:t>
            </w:r>
          </w:p>
        </w:tc>
        <w:tc>
          <w:tcPr>
            <w:tcW w:w="6754" w:type="dxa"/>
          </w:tcPr>
          <w:p>
            <w:pPr>
              <w:tabs>
                <w:tab w:val="left" w:pos="3060"/>
              </w:tabs>
              <w:ind w:firstLine="210" w:firstLineChars="100"/>
              <w:rPr>
                <w:rFonts w:ascii="宋体" w:hAnsi="宋体" w:cs="宋体"/>
                <w:szCs w:val="21"/>
              </w:rPr>
            </w:pPr>
            <w:r>
              <w:rPr>
                <w:rFonts w:hint="eastAsia" w:ascii="宋体" w:hAnsi="宋体" w:cs="宋体"/>
                <w:szCs w:val="21"/>
              </w:rPr>
              <w:t>（1）投标人具有有效企业营业执照，具有中国银行保险监督管理委员会颁发的《保险许可证》，投标人为分支机构的，需持有其具备《保险许可证》的总公司开具的唯一授权书，且总公司与分支机构不得同时参与投标；</w:t>
            </w:r>
          </w:p>
          <w:p>
            <w:pPr>
              <w:pStyle w:val="6"/>
              <w:ind w:firstLine="210" w:firstLineChars="100"/>
              <w:rPr>
                <w:rFonts w:cs="宋体"/>
                <w:sz w:val="21"/>
                <w:szCs w:val="21"/>
              </w:rPr>
            </w:pPr>
            <w:r>
              <w:rPr>
                <w:rFonts w:hint="eastAsia" w:cs="宋体"/>
                <w:sz w:val="21"/>
                <w:szCs w:val="21"/>
              </w:rPr>
              <w:t>（2）投标人的类似项目业绩符合招标文件规定；</w:t>
            </w:r>
          </w:p>
          <w:p>
            <w:pPr>
              <w:tabs>
                <w:tab w:val="left" w:pos="3060"/>
              </w:tabs>
              <w:ind w:firstLine="210" w:firstLineChars="100"/>
              <w:rPr>
                <w:rFonts w:ascii="宋体" w:hAnsi="宋体" w:cs="宋体"/>
                <w:szCs w:val="21"/>
              </w:rPr>
            </w:pPr>
            <w:r>
              <w:rPr>
                <w:rFonts w:hint="eastAsia" w:ascii="宋体" w:hAnsi="宋体" w:cs="宋体"/>
                <w:szCs w:val="21"/>
              </w:rPr>
              <w:t>（3）投标人的信誉符合招标文件规定；</w:t>
            </w:r>
          </w:p>
          <w:p>
            <w:pPr>
              <w:tabs>
                <w:tab w:val="left" w:pos="3060"/>
              </w:tabs>
              <w:ind w:firstLine="210" w:firstLineChars="100"/>
              <w:rPr>
                <w:rFonts w:ascii="宋体" w:hAnsi="宋体" w:cs="宋体"/>
                <w:szCs w:val="21"/>
              </w:rPr>
            </w:pPr>
            <w:r>
              <w:rPr>
                <w:rFonts w:hint="eastAsia" w:ascii="宋体" w:hAnsi="宋体" w:cs="宋体"/>
                <w:szCs w:val="21"/>
              </w:rPr>
              <w:t>（4）投标人不存在第二章“投标人须知”第1.4.3项和1.4.4项规定的任何一种情形。</w:t>
            </w:r>
          </w:p>
          <w:p>
            <w:pPr>
              <w:tabs>
                <w:tab w:val="left" w:pos="3060"/>
              </w:tabs>
              <w:ind w:firstLine="210" w:firstLineChars="100"/>
              <w:rPr>
                <w:rFonts w:ascii="宋体" w:hAnsi="宋体"/>
                <w:szCs w:val="21"/>
              </w:rPr>
            </w:pPr>
            <w:r>
              <w:rPr>
                <w:rFonts w:hint="eastAsia" w:ascii="宋体" w:hAnsi="宋体" w:cs="宋体"/>
                <w:szCs w:val="21"/>
              </w:rPr>
              <w:t>（5）以联合体形式参加投标的，应满足“投标人须知”第1</w:t>
            </w:r>
            <w:r>
              <w:rPr>
                <w:rFonts w:ascii="宋体" w:hAnsi="宋体" w:cs="宋体"/>
                <w:szCs w:val="21"/>
              </w:rPr>
              <w:t>.4.2</w:t>
            </w: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077" w:type="dxa"/>
            <w:vAlign w:val="center"/>
          </w:tcPr>
          <w:p>
            <w:pPr>
              <w:wordWrap w:val="0"/>
              <w:adjustRightInd w:val="0"/>
              <w:snapToGrid w:val="0"/>
              <w:jc w:val="center"/>
              <w:rPr>
                <w:rFonts w:ascii="宋体" w:hAnsi="宋体" w:cs="宋体"/>
                <w:szCs w:val="21"/>
              </w:rPr>
            </w:pPr>
            <w:r>
              <w:rPr>
                <w:rFonts w:hint="eastAsia" w:ascii="宋体" w:hAnsi="宋体" w:cs="宋体"/>
                <w:szCs w:val="21"/>
                <w:shd w:val="clear" w:color="auto" w:fill="FFFFFF" w:themeFill="background1"/>
              </w:rPr>
              <w:t>2.2</w:t>
            </w:r>
          </w:p>
        </w:tc>
        <w:tc>
          <w:tcPr>
            <w:tcW w:w="7994" w:type="dxa"/>
            <w:gridSpan w:val="2"/>
            <w:vAlign w:val="center"/>
          </w:tcPr>
          <w:p>
            <w:pPr>
              <w:wordWrap w:val="0"/>
              <w:adjustRightInd w:val="0"/>
              <w:snapToGrid w:val="0"/>
              <w:jc w:val="center"/>
              <w:rPr>
                <w:rFonts w:ascii="宋体" w:hAnsi="宋体" w:cs="宋体"/>
                <w:szCs w:val="21"/>
              </w:rPr>
            </w:pPr>
            <w:r>
              <w:rPr>
                <w:rFonts w:hint="eastAsia" w:ascii="宋体" w:hAnsi="宋体" w:cs="宋体"/>
                <w:szCs w:val="21"/>
                <w:shd w:val="clear" w:color="auto" w:fill="FFFFFF" w:themeFill="background1"/>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.1</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分值构成</w:t>
            </w:r>
          </w:p>
          <w:p>
            <w:pPr>
              <w:adjustRightInd w:val="0"/>
              <w:snapToGrid w:val="0"/>
              <w:jc w:val="center"/>
              <w:rPr>
                <w:rFonts w:ascii="宋体" w:hAnsi="宋体" w:cs="宋体"/>
                <w:szCs w:val="21"/>
              </w:rPr>
            </w:pPr>
            <w:r>
              <w:rPr>
                <w:rFonts w:hint="eastAsia" w:ascii="宋体" w:hAnsi="宋体" w:cs="宋体"/>
                <w:szCs w:val="21"/>
              </w:rPr>
              <w:t>（总分100分）</w:t>
            </w:r>
          </w:p>
        </w:tc>
        <w:tc>
          <w:tcPr>
            <w:tcW w:w="6754" w:type="dxa"/>
            <w:vAlign w:val="center"/>
          </w:tcPr>
          <w:p>
            <w:pPr>
              <w:ind w:firstLine="210" w:firstLineChars="100"/>
              <w:rPr>
                <w:rFonts w:ascii="宋体" w:hAnsi="宋体" w:cs="宋体"/>
                <w:bCs/>
                <w:szCs w:val="21"/>
              </w:rPr>
            </w:pPr>
            <w:r>
              <w:rPr>
                <w:rFonts w:hint="eastAsia" w:ascii="宋体" w:hAnsi="宋体" w:cs="宋体"/>
                <w:bCs/>
                <w:szCs w:val="21"/>
              </w:rPr>
              <w:t>服务方案：</w:t>
            </w:r>
            <w:r>
              <w:rPr>
                <w:rFonts w:ascii="宋体" w:hAnsi="宋体" w:cs="宋体"/>
                <w:bCs/>
                <w:szCs w:val="21"/>
                <w:u w:val="single"/>
              </w:rPr>
              <w:t xml:space="preserve"> 55 </w:t>
            </w:r>
            <w:r>
              <w:rPr>
                <w:rFonts w:hint="eastAsia" w:ascii="宋体" w:hAnsi="宋体" w:cs="宋体"/>
                <w:bCs/>
                <w:szCs w:val="21"/>
              </w:rPr>
              <w:t>分</w:t>
            </w:r>
          </w:p>
          <w:p>
            <w:pPr>
              <w:ind w:firstLine="210" w:firstLineChars="100"/>
              <w:rPr>
                <w:rFonts w:ascii="宋体" w:hAnsi="宋体" w:cs="宋体"/>
                <w:bCs/>
                <w:szCs w:val="21"/>
                <w:u w:val="single"/>
              </w:rPr>
            </w:pPr>
            <w:r>
              <w:rPr>
                <w:rFonts w:hint="eastAsia" w:ascii="宋体" w:hAnsi="宋体" w:cs="宋体"/>
                <w:bCs/>
                <w:szCs w:val="21"/>
              </w:rPr>
              <w:t>业绩评审：</w:t>
            </w:r>
            <w:r>
              <w:rPr>
                <w:rFonts w:ascii="宋体" w:hAnsi="宋体" w:cs="宋体"/>
                <w:bCs/>
                <w:szCs w:val="21"/>
                <w:u w:val="single"/>
              </w:rPr>
              <w:t xml:space="preserve"> 15 分</w:t>
            </w:r>
          </w:p>
          <w:p>
            <w:pPr>
              <w:adjustRightInd w:val="0"/>
              <w:snapToGrid w:val="0"/>
              <w:ind w:firstLine="210" w:firstLineChars="100"/>
              <w:rPr>
                <w:rFonts w:ascii="宋体" w:hAnsi="宋体" w:cs="宋体"/>
                <w:szCs w:val="21"/>
              </w:rPr>
            </w:pPr>
            <w:r>
              <w:rPr>
                <w:rFonts w:hint="eastAsia" w:ascii="宋体" w:hAnsi="宋体" w:cs="宋体"/>
                <w:szCs w:val="21"/>
              </w:rPr>
              <w:t>保险费率：</w:t>
            </w:r>
            <w:r>
              <w:rPr>
                <w:rFonts w:ascii="宋体" w:hAnsi="宋体" w:cs="宋体"/>
                <w:szCs w:val="21"/>
                <w:u w:val="single"/>
              </w:rPr>
              <w:t xml:space="preserve"> 30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.2</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评标基准价计算方法</w:t>
            </w:r>
          </w:p>
        </w:tc>
        <w:tc>
          <w:tcPr>
            <w:tcW w:w="6754" w:type="dxa"/>
            <w:vAlign w:val="center"/>
          </w:tcPr>
          <w:p>
            <w:pPr>
              <w:pStyle w:val="2"/>
              <w:spacing w:line="240" w:lineRule="auto"/>
              <w:ind w:firstLine="0" w:firstLineChars="0"/>
              <w:rPr>
                <w:rFonts w:ascii="宋体" w:hAnsi="宋体" w:cs="宋体"/>
                <w:color w:val="auto"/>
                <w:sz w:val="21"/>
                <w:szCs w:val="21"/>
              </w:rPr>
            </w:pPr>
            <w:r>
              <w:rPr>
                <w:rFonts w:hint="eastAsia" w:ascii="宋体" w:hAnsi="宋体" w:cs="宋体"/>
                <w:color w:val="auto"/>
                <w:sz w:val="21"/>
                <w:szCs w:val="21"/>
              </w:rPr>
              <w:t>评标基准价的计算：</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1、评标价的确定：</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评标价=投标函报价</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2、评标价平均值的计算：</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通过初步评审的投标人的评标价去掉一个最高值和一个最低值后的算数平均值即为评标价平均值（如果参与评标价平均值计算的投标人少于5家时，则计算评标价平均值时不去掉最高值和最低值）。</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 xml:space="preserve">3、评标基准价的确定： </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 xml:space="preserve">评标价平均值直接作为评标基准价。 </w:t>
            </w:r>
          </w:p>
          <w:p>
            <w:pPr>
              <w:pStyle w:val="2"/>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.3</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评标价的偏差率计算</w:t>
            </w:r>
          </w:p>
          <w:p>
            <w:pPr>
              <w:adjustRightInd w:val="0"/>
              <w:snapToGrid w:val="0"/>
              <w:jc w:val="center"/>
              <w:rPr>
                <w:rFonts w:ascii="宋体" w:hAnsi="宋体" w:cs="宋体"/>
                <w:szCs w:val="21"/>
              </w:rPr>
            </w:pPr>
            <w:r>
              <w:rPr>
                <w:rFonts w:hint="eastAsia" w:ascii="宋体" w:hAnsi="宋体" w:cs="宋体"/>
                <w:szCs w:val="21"/>
              </w:rPr>
              <w:t>公式</w:t>
            </w:r>
          </w:p>
        </w:tc>
        <w:tc>
          <w:tcPr>
            <w:tcW w:w="6754" w:type="dxa"/>
            <w:vAlign w:val="center"/>
          </w:tcPr>
          <w:p>
            <w:pPr>
              <w:adjustRightInd w:val="0"/>
              <w:snapToGrid w:val="0"/>
              <w:rPr>
                <w:rFonts w:ascii="宋体" w:hAnsi="宋体" w:cs="宋体"/>
                <w:szCs w:val="21"/>
              </w:rPr>
            </w:pPr>
            <w:r>
              <w:rPr>
                <w:rFonts w:hint="eastAsia" w:ascii="宋体" w:hAnsi="宋体" w:cs="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077" w:type="dxa"/>
            <w:vAlign w:val="center"/>
          </w:tcPr>
          <w:p>
            <w:pPr>
              <w:adjustRightInd w:val="0"/>
              <w:snapToGrid w:val="0"/>
              <w:jc w:val="center"/>
              <w:rPr>
                <w:rFonts w:ascii="宋体" w:hAnsi="宋体" w:cs="宋体"/>
                <w:szCs w:val="21"/>
              </w:rPr>
            </w:pPr>
            <w:r>
              <w:rPr>
                <w:rFonts w:hint="eastAsia" w:ascii="宋体" w:hAnsi="宋体" w:cs="宋体"/>
                <w:szCs w:val="21"/>
              </w:rPr>
              <w:t>3.6.1</w:t>
            </w:r>
          </w:p>
        </w:tc>
        <w:tc>
          <w:tcPr>
            <w:tcW w:w="1240" w:type="dxa"/>
            <w:vAlign w:val="center"/>
          </w:tcPr>
          <w:p>
            <w:pPr>
              <w:adjustRightInd w:val="0"/>
              <w:snapToGrid w:val="0"/>
              <w:jc w:val="center"/>
              <w:rPr>
                <w:rFonts w:ascii="宋体" w:hAnsi="宋体" w:cs="宋体"/>
                <w:szCs w:val="21"/>
              </w:rPr>
            </w:pPr>
            <w:r>
              <w:rPr>
                <w:rFonts w:hint="eastAsia" w:ascii="宋体" w:hAnsi="宋体" w:cs="宋体"/>
                <w:szCs w:val="21"/>
              </w:rPr>
              <w:t>信息查询</w:t>
            </w:r>
          </w:p>
        </w:tc>
        <w:tc>
          <w:tcPr>
            <w:tcW w:w="6754" w:type="dxa"/>
            <w:vAlign w:val="center"/>
          </w:tcPr>
          <w:p>
            <w:pPr>
              <w:adjustRightInd w:val="0"/>
              <w:snapToGrid w:val="0"/>
              <w:rPr>
                <w:rFonts w:ascii="宋体" w:hAnsi="宋体" w:cs="宋体"/>
                <w:szCs w:val="21"/>
              </w:rPr>
            </w:pPr>
            <w:r>
              <w:rPr>
                <w:rFonts w:hint="eastAsia" w:ascii="宋体" w:hAnsi="宋体" w:cs="宋体"/>
                <w:szCs w:val="21"/>
              </w:rPr>
              <w:t>在评标过程中，评标委员会应对以下信息进行查询：</w:t>
            </w:r>
          </w:p>
          <w:p>
            <w:pPr>
              <w:snapToGrid w:val="0"/>
              <w:ind w:firstLine="210" w:firstLineChars="100"/>
              <w:rPr>
                <w:rFonts w:ascii="宋体" w:hAnsi="宋体" w:cs="宋体"/>
                <w:szCs w:val="21"/>
              </w:rPr>
            </w:pPr>
            <w:r>
              <w:rPr>
                <w:rFonts w:hint="eastAsia" w:ascii="宋体" w:hAnsi="宋体" w:cs="宋体"/>
                <w:szCs w:val="21"/>
              </w:rPr>
              <w:t>评标委员会评标时在“国家企业信用信息公示系统”和“信用中国”网站对投标人（联合体所有成员）信用情况进行查询，若投标人（联合体所有成员）存在“国家企业信用信息公示系统” 被列入严重违法失信企业名单或在“信用中国”网站“被列入失信被执行人、经营异常名录信息、重大税收违法失信主体和政府采购严重违法失信行为记录名单情形的，评标委员会应否决其投标。</w:t>
            </w:r>
          </w:p>
          <w:p>
            <w:pPr>
              <w:snapToGrid w:val="0"/>
              <w:ind w:firstLine="210" w:firstLineChars="100"/>
              <w:rPr>
                <w:rFonts w:ascii="宋体" w:hAnsi="宋体" w:cs="宋体"/>
                <w:szCs w:val="21"/>
              </w:rPr>
            </w:pPr>
            <w:r>
              <w:rPr>
                <w:rFonts w:hint="eastAsia" w:ascii="宋体" w:hAnsi="宋体" w:cs="宋体"/>
                <w:szCs w:val="21"/>
              </w:rPr>
              <w:t>若投标人（联合体所有成员）未提供相关网页截图或所附截图与核查结果不一致的，评标委员会应否决其投标。</w:t>
            </w:r>
          </w:p>
        </w:tc>
      </w:tr>
    </w:tbl>
    <w:p>
      <w:pPr>
        <w:autoSpaceDE w:val="0"/>
        <w:autoSpaceDN w:val="0"/>
        <w:adjustRightInd w:val="0"/>
        <w:snapToGrid w:val="0"/>
        <w:spacing w:line="360" w:lineRule="auto"/>
        <w:ind w:left="119" w:right="113"/>
        <w:jc w:val="left"/>
        <w:rPr>
          <w:rFonts w:ascii="宋体" w:hAnsi="宋体" w:cs="宋体"/>
          <w:szCs w:val="21"/>
        </w:rPr>
      </w:pPr>
    </w:p>
    <w:p>
      <w:pPr>
        <w:rPr>
          <w:rFonts w:ascii="宋体" w:hAnsi="宋体" w:cs="宋体"/>
          <w:b/>
          <w:bCs/>
          <w:szCs w:val="21"/>
        </w:rPr>
      </w:pPr>
      <w:r>
        <w:rPr>
          <w:rFonts w:hint="eastAsia" w:ascii="宋体" w:hAnsi="宋体" w:cs="宋体"/>
          <w:b/>
          <w:bCs/>
          <w:szCs w:val="21"/>
        </w:rPr>
        <w:br w:type="page"/>
      </w:r>
    </w:p>
    <w:p>
      <w:pPr>
        <w:pStyle w:val="21"/>
        <w:jc w:val="left"/>
        <w:outlineLvl w:val="0"/>
        <w:rPr>
          <w:rFonts w:ascii="宋体" w:hAnsi="宋体" w:eastAsia="宋体" w:cs="宋体"/>
          <w:sz w:val="21"/>
          <w:szCs w:val="21"/>
        </w:rPr>
      </w:pPr>
      <w:r>
        <w:rPr>
          <w:rFonts w:hint="eastAsia" w:ascii="宋体" w:hAnsi="宋体" w:eastAsia="宋体" w:cs="宋体"/>
          <w:b/>
          <w:bCs/>
          <w:sz w:val="21"/>
          <w:szCs w:val="21"/>
        </w:rPr>
        <w:t>评分标准</w:t>
      </w:r>
    </w:p>
    <w:tbl>
      <w:tblPr>
        <w:tblStyle w:val="1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36"/>
        <w:gridCol w:w="1842"/>
        <w:gridCol w:w="396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2" w:type="dxa"/>
            <w:gridSpan w:val="2"/>
            <w:vAlign w:val="center"/>
          </w:tcPr>
          <w:p>
            <w:pPr>
              <w:jc w:val="center"/>
              <w:rPr>
                <w:rFonts w:ascii="宋体" w:hAnsi="宋体" w:cs="宋体"/>
                <w:bCs/>
                <w:szCs w:val="21"/>
              </w:rPr>
            </w:pPr>
            <w:r>
              <w:rPr>
                <w:rFonts w:hint="eastAsia" w:ascii="宋体" w:hAnsi="宋体" w:cs="宋体"/>
                <w:bCs/>
                <w:szCs w:val="21"/>
              </w:rPr>
              <w:t>条款号</w:t>
            </w:r>
          </w:p>
        </w:tc>
        <w:tc>
          <w:tcPr>
            <w:tcW w:w="1842" w:type="dxa"/>
            <w:vAlign w:val="center"/>
          </w:tcPr>
          <w:p>
            <w:pPr>
              <w:jc w:val="center"/>
              <w:rPr>
                <w:rFonts w:ascii="宋体" w:hAnsi="宋体" w:cs="宋体"/>
                <w:bCs/>
                <w:szCs w:val="21"/>
              </w:rPr>
            </w:pPr>
            <w:r>
              <w:rPr>
                <w:rFonts w:hint="eastAsia" w:ascii="宋体" w:hAnsi="宋体" w:cs="宋体"/>
                <w:bCs/>
                <w:szCs w:val="21"/>
              </w:rPr>
              <w:t>评分因素</w:t>
            </w:r>
          </w:p>
        </w:tc>
        <w:tc>
          <w:tcPr>
            <w:tcW w:w="5377" w:type="dxa"/>
            <w:gridSpan w:val="2"/>
            <w:vAlign w:val="center"/>
          </w:tcPr>
          <w:p>
            <w:pPr>
              <w:jc w:val="center"/>
              <w:rPr>
                <w:rFonts w:ascii="宋体" w:hAnsi="宋体" w:cs="宋体"/>
                <w:bCs/>
                <w:szCs w:val="21"/>
              </w:rPr>
            </w:pPr>
            <w:r>
              <w:rPr>
                <w:rFonts w:hint="eastAsia" w:ascii="宋体" w:hAnsi="宋体" w:cs="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restart"/>
            <w:vAlign w:val="center"/>
          </w:tcPr>
          <w:p>
            <w:pPr>
              <w:jc w:val="center"/>
              <w:rPr>
                <w:rFonts w:ascii="宋体" w:hAnsi="宋体" w:cs="宋体"/>
                <w:bCs/>
                <w:szCs w:val="21"/>
              </w:rPr>
            </w:pPr>
            <w:r>
              <w:rPr>
                <w:rFonts w:hint="eastAsia" w:ascii="宋体" w:hAnsi="宋体" w:cs="宋体"/>
                <w:bCs/>
                <w:szCs w:val="21"/>
              </w:rPr>
              <w:t>2.3.4（1）</w:t>
            </w:r>
          </w:p>
        </w:tc>
        <w:tc>
          <w:tcPr>
            <w:tcW w:w="1236" w:type="dxa"/>
            <w:vMerge w:val="restart"/>
            <w:vAlign w:val="center"/>
          </w:tcPr>
          <w:p>
            <w:pPr>
              <w:jc w:val="center"/>
              <w:rPr>
                <w:rFonts w:ascii="宋体" w:hAnsi="宋体" w:cs="宋体"/>
                <w:bCs/>
                <w:szCs w:val="21"/>
              </w:rPr>
            </w:pPr>
            <w:r>
              <w:rPr>
                <w:rFonts w:hint="eastAsia" w:ascii="宋体" w:hAnsi="宋体" w:cs="宋体"/>
                <w:bCs/>
                <w:szCs w:val="21"/>
              </w:rPr>
              <w:t>服务方案</w:t>
            </w:r>
          </w:p>
          <w:p>
            <w:pPr>
              <w:jc w:val="center"/>
              <w:rPr>
                <w:rFonts w:ascii="宋体" w:hAnsi="宋体" w:cs="宋体"/>
                <w:bCs/>
                <w:szCs w:val="21"/>
              </w:rPr>
            </w:pPr>
            <w:r>
              <w:rPr>
                <w:rFonts w:hint="eastAsia" w:ascii="宋体" w:hAnsi="宋体" w:cs="宋体"/>
                <w:bCs/>
                <w:szCs w:val="21"/>
              </w:rPr>
              <w:t>评分标准</w:t>
            </w:r>
          </w:p>
          <w:p>
            <w:pPr>
              <w:jc w:val="center"/>
              <w:rPr>
                <w:rFonts w:ascii="宋体" w:hAnsi="宋体" w:cs="宋体"/>
                <w:bCs/>
                <w:szCs w:val="21"/>
              </w:rPr>
            </w:pPr>
            <w:r>
              <w:rPr>
                <w:rFonts w:hint="eastAsia" w:ascii="宋体" w:hAnsi="宋体" w:cs="宋体"/>
                <w:bCs/>
                <w:szCs w:val="21"/>
              </w:rPr>
              <w:t>（5</w:t>
            </w:r>
            <w:r>
              <w:rPr>
                <w:rFonts w:ascii="宋体" w:hAnsi="宋体" w:cs="宋体"/>
                <w:bCs/>
                <w:szCs w:val="21"/>
              </w:rPr>
              <w:t>5</w:t>
            </w:r>
            <w:r>
              <w:rPr>
                <w:rFonts w:hint="eastAsia" w:ascii="宋体" w:hAnsi="宋体" w:cs="宋体"/>
                <w:bCs/>
                <w:szCs w:val="21"/>
              </w:rPr>
              <w:t>分）</w:t>
            </w:r>
          </w:p>
        </w:tc>
        <w:tc>
          <w:tcPr>
            <w:tcW w:w="1842" w:type="dxa"/>
            <w:vMerge w:val="restart"/>
            <w:vAlign w:val="center"/>
          </w:tcPr>
          <w:p>
            <w:pPr>
              <w:jc w:val="center"/>
              <w:rPr>
                <w:rFonts w:ascii="宋体" w:hAnsi="宋体" w:cs="宋体"/>
                <w:bCs/>
                <w:szCs w:val="21"/>
              </w:rPr>
            </w:pPr>
            <w:r>
              <w:rPr>
                <w:rFonts w:hint="eastAsia" w:ascii="宋体" w:hAnsi="宋体" w:cs="宋体"/>
                <w:bCs/>
                <w:szCs w:val="21"/>
              </w:rPr>
              <w:t>整体实施方案</w:t>
            </w:r>
          </w:p>
          <w:p>
            <w:pPr>
              <w:jc w:val="center"/>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分）</w:t>
            </w:r>
          </w:p>
        </w:tc>
        <w:tc>
          <w:tcPr>
            <w:tcW w:w="3967" w:type="dxa"/>
            <w:vAlign w:val="center"/>
          </w:tcPr>
          <w:p>
            <w:pPr>
              <w:rPr>
                <w:rFonts w:ascii="宋体" w:hAnsi="宋体" w:cs="宋体"/>
                <w:bCs/>
                <w:szCs w:val="21"/>
              </w:rPr>
            </w:pPr>
            <w:r>
              <w:rPr>
                <w:rFonts w:hint="eastAsia" w:ascii="宋体" w:hAnsi="宋体" w:cs="宋体"/>
                <w:bCs/>
                <w:spacing w:val="-14"/>
                <w:szCs w:val="21"/>
              </w:rPr>
              <w:t>方案明确详尽，具体完善，科学合理，与本项目的实</w:t>
            </w:r>
            <w:r>
              <w:rPr>
                <w:rFonts w:hint="eastAsia" w:ascii="宋体" w:hAnsi="宋体" w:cs="宋体"/>
                <w:bCs/>
                <w:spacing w:val="-10"/>
                <w:szCs w:val="21"/>
              </w:rPr>
              <w:t>际情</w:t>
            </w:r>
            <w:r>
              <w:rPr>
                <w:rFonts w:hint="eastAsia" w:ascii="宋体" w:hAnsi="宋体" w:cs="宋体"/>
                <w:bCs/>
                <w:spacing w:val="-9"/>
                <w:szCs w:val="21"/>
              </w:rPr>
              <w:t>况</w:t>
            </w:r>
            <w:r>
              <w:rPr>
                <w:rFonts w:hint="eastAsia" w:ascii="宋体" w:hAnsi="宋体" w:cs="宋体"/>
                <w:bCs/>
                <w:spacing w:val="-5"/>
                <w:szCs w:val="21"/>
              </w:rPr>
              <w:t>契合度高、针对性和操作性强，</w:t>
            </w:r>
          </w:p>
        </w:tc>
        <w:tc>
          <w:tcPr>
            <w:tcW w:w="1410" w:type="dxa"/>
            <w:vAlign w:val="center"/>
          </w:tcPr>
          <w:p>
            <w:pPr>
              <w:pStyle w:val="24"/>
              <w:jc w:val="center"/>
              <w:rPr>
                <w:rFonts w:cs="宋体"/>
                <w:bCs/>
                <w:sz w:val="21"/>
                <w:szCs w:val="21"/>
              </w:rPr>
            </w:pPr>
            <w:r>
              <w:rPr>
                <w:rFonts w:hint="eastAsia" w:cs="宋体"/>
                <w:bCs/>
                <w:sz w:val="21"/>
                <w:szCs w:val="21"/>
              </w:rPr>
              <w:t>12.1-15.0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vAlign w:val="center"/>
          </w:tcPr>
          <w:p>
            <w:pPr>
              <w:jc w:val="center"/>
              <w:rPr>
                <w:rFonts w:ascii="宋体" w:hAnsi="宋体" w:cs="宋体"/>
                <w:bCs/>
                <w:szCs w:val="21"/>
              </w:rPr>
            </w:pPr>
          </w:p>
        </w:tc>
        <w:tc>
          <w:tcPr>
            <w:tcW w:w="1236" w:type="dxa"/>
            <w:vMerge w:val="continue"/>
            <w:vAlign w:val="center"/>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zCs w:val="21"/>
              </w:rPr>
            </w:pPr>
            <w:r>
              <w:rPr>
                <w:rFonts w:hint="eastAsia" w:ascii="宋体" w:hAnsi="宋体" w:cs="宋体"/>
                <w:bCs/>
                <w:spacing w:val="-10"/>
                <w:szCs w:val="21"/>
              </w:rPr>
              <w:t>方案较明确、较具体，合理可行，与本项目的实际情</w:t>
            </w:r>
            <w:r>
              <w:rPr>
                <w:rFonts w:hint="eastAsia" w:ascii="宋体" w:hAnsi="宋体" w:cs="宋体"/>
                <w:bCs/>
                <w:spacing w:val="-24"/>
                <w:szCs w:val="21"/>
              </w:rPr>
              <w:t>况</w:t>
            </w:r>
            <w:r>
              <w:rPr>
                <w:rFonts w:hint="eastAsia" w:ascii="宋体" w:hAnsi="宋体" w:cs="宋体"/>
                <w:bCs/>
                <w:spacing w:val="-15"/>
                <w:szCs w:val="21"/>
              </w:rPr>
              <w:t>契</w:t>
            </w:r>
            <w:r>
              <w:rPr>
                <w:rFonts w:hint="eastAsia" w:ascii="宋体" w:hAnsi="宋体" w:cs="宋体"/>
                <w:bCs/>
                <w:spacing w:val="-12"/>
                <w:szCs w:val="21"/>
              </w:rPr>
              <w:t>合度较高，可操作</w:t>
            </w:r>
          </w:p>
        </w:tc>
        <w:tc>
          <w:tcPr>
            <w:tcW w:w="1410" w:type="dxa"/>
            <w:vAlign w:val="center"/>
          </w:tcPr>
          <w:p>
            <w:pPr>
              <w:pStyle w:val="24"/>
              <w:jc w:val="center"/>
              <w:rPr>
                <w:rFonts w:cs="宋体"/>
                <w:bCs/>
                <w:sz w:val="21"/>
                <w:szCs w:val="21"/>
              </w:rPr>
            </w:pPr>
            <w:r>
              <w:rPr>
                <w:rFonts w:hint="eastAsia" w:cs="宋体"/>
                <w:bCs/>
                <w:sz w:val="21"/>
                <w:szCs w:val="21"/>
              </w:rPr>
              <w:t>9.1-12.0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vAlign w:val="center"/>
          </w:tcPr>
          <w:p>
            <w:pPr>
              <w:jc w:val="center"/>
              <w:rPr>
                <w:rFonts w:ascii="宋体" w:hAnsi="宋体" w:cs="宋体"/>
                <w:bCs/>
                <w:szCs w:val="21"/>
              </w:rPr>
            </w:pPr>
          </w:p>
        </w:tc>
        <w:tc>
          <w:tcPr>
            <w:tcW w:w="1236" w:type="dxa"/>
            <w:vMerge w:val="continue"/>
            <w:vAlign w:val="center"/>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zCs w:val="21"/>
              </w:rPr>
            </w:pPr>
            <w:r>
              <w:rPr>
                <w:rFonts w:hint="eastAsia" w:ascii="宋体" w:hAnsi="宋体" w:cs="宋体"/>
                <w:bCs/>
                <w:spacing w:val="-1"/>
                <w:szCs w:val="21"/>
              </w:rPr>
              <w:t>基本满足招标文件要求</w:t>
            </w:r>
          </w:p>
        </w:tc>
        <w:tc>
          <w:tcPr>
            <w:tcW w:w="1410" w:type="dxa"/>
            <w:vAlign w:val="center"/>
          </w:tcPr>
          <w:p>
            <w:pPr>
              <w:pStyle w:val="24"/>
              <w:jc w:val="center"/>
              <w:rPr>
                <w:rFonts w:cs="宋体"/>
                <w:bCs/>
                <w:sz w:val="21"/>
                <w:szCs w:val="21"/>
              </w:rPr>
            </w:pPr>
            <w:r>
              <w:rPr>
                <w:rFonts w:hint="eastAsia" w:cs="宋体"/>
                <w:bCs/>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restart"/>
            <w:vAlign w:val="center"/>
          </w:tcPr>
          <w:p>
            <w:pPr>
              <w:jc w:val="center"/>
              <w:rPr>
                <w:rFonts w:ascii="宋体" w:hAnsi="宋体" w:cs="宋体"/>
                <w:bCs/>
                <w:szCs w:val="21"/>
              </w:rPr>
            </w:pPr>
            <w:r>
              <w:rPr>
                <w:rFonts w:hint="eastAsia" w:ascii="宋体" w:hAnsi="宋体" w:cs="宋体"/>
                <w:bCs/>
                <w:szCs w:val="21"/>
              </w:rPr>
              <w:t>投标人对扩展条款的非星号条款响应评价</w:t>
            </w:r>
          </w:p>
          <w:p>
            <w:pPr>
              <w:jc w:val="center"/>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分）</w:t>
            </w:r>
          </w:p>
        </w:tc>
        <w:tc>
          <w:tcPr>
            <w:tcW w:w="3967" w:type="dxa"/>
            <w:vAlign w:val="center"/>
          </w:tcPr>
          <w:p>
            <w:pPr>
              <w:rPr>
                <w:rFonts w:ascii="宋体" w:hAnsi="宋体" w:cs="宋体"/>
                <w:bCs/>
                <w:spacing w:val="-14"/>
                <w:szCs w:val="21"/>
              </w:rPr>
            </w:pPr>
            <w:r>
              <w:rPr>
                <w:rFonts w:hint="eastAsia" w:ascii="宋体" w:hAnsi="宋体" w:cs="宋体"/>
                <w:bCs/>
                <w:spacing w:val="-14"/>
                <w:szCs w:val="21"/>
              </w:rPr>
              <w:t>对扩展条款的非星号条款完全响应且应答内容完全符合招标文件要求。</w:t>
            </w:r>
          </w:p>
        </w:tc>
        <w:tc>
          <w:tcPr>
            <w:tcW w:w="1410" w:type="dxa"/>
            <w:vAlign w:val="center"/>
          </w:tcPr>
          <w:p>
            <w:pPr>
              <w:pStyle w:val="24"/>
              <w:jc w:val="center"/>
              <w:rPr>
                <w:rFonts w:cs="宋体"/>
                <w:bCs/>
                <w:sz w:val="21"/>
                <w:szCs w:val="21"/>
              </w:rPr>
            </w:pPr>
            <w:r>
              <w:rPr>
                <w:rFonts w:hint="eastAsia" w:cs="宋体"/>
                <w:bCs/>
                <w:sz w:val="21"/>
                <w:szCs w:val="21"/>
              </w:rPr>
              <w:t>4.1-</w:t>
            </w:r>
            <w:r>
              <w:rPr>
                <w:rFonts w:cs="宋体"/>
                <w:bCs/>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对扩展条款的非星号条款未完全响应但应答内容较符合招标文件要求。</w:t>
            </w:r>
          </w:p>
        </w:tc>
        <w:tc>
          <w:tcPr>
            <w:tcW w:w="1410" w:type="dxa"/>
            <w:vAlign w:val="center"/>
          </w:tcPr>
          <w:p>
            <w:pPr>
              <w:pStyle w:val="24"/>
              <w:jc w:val="center"/>
              <w:rPr>
                <w:rFonts w:cs="宋体"/>
                <w:bCs/>
                <w:sz w:val="21"/>
                <w:szCs w:val="21"/>
              </w:rPr>
            </w:pPr>
            <w:r>
              <w:rPr>
                <w:rFonts w:hint="eastAsia" w:cs="宋体"/>
                <w:bCs/>
                <w:sz w:val="21"/>
                <w:szCs w:val="21"/>
              </w:rPr>
              <w:t>3</w:t>
            </w:r>
            <w:r>
              <w:rPr>
                <w:rFonts w:cs="宋体"/>
                <w:bCs/>
                <w:sz w:val="21"/>
                <w:szCs w:val="21"/>
              </w:rPr>
              <w:t>.0-</w:t>
            </w:r>
            <w:r>
              <w:rPr>
                <w:rFonts w:hint="eastAsia" w:cs="宋体"/>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对扩展条款的非星号条款基本响应且应答内容基本符合招标文件要求。</w:t>
            </w:r>
          </w:p>
        </w:tc>
        <w:tc>
          <w:tcPr>
            <w:tcW w:w="1410" w:type="dxa"/>
            <w:vAlign w:val="center"/>
          </w:tcPr>
          <w:p>
            <w:pPr>
              <w:pStyle w:val="24"/>
              <w:jc w:val="center"/>
              <w:rPr>
                <w:rFonts w:cs="宋体"/>
                <w:bCs/>
                <w:sz w:val="21"/>
                <w:szCs w:val="21"/>
              </w:rPr>
            </w:pPr>
            <w:r>
              <w:rPr>
                <w:rFonts w:hint="eastAsia"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restart"/>
            <w:vAlign w:val="center"/>
          </w:tcPr>
          <w:p>
            <w:pPr>
              <w:jc w:val="center"/>
              <w:rPr>
                <w:rFonts w:ascii="宋体" w:hAnsi="宋体" w:cs="宋体"/>
                <w:bCs/>
                <w:szCs w:val="21"/>
              </w:rPr>
            </w:pPr>
            <w:r>
              <w:rPr>
                <w:rFonts w:hint="eastAsia" w:ascii="宋体" w:hAnsi="宋体" w:cs="宋体"/>
                <w:bCs/>
                <w:szCs w:val="21"/>
              </w:rPr>
              <w:t>理赔流程、时效及质量评价</w:t>
            </w:r>
          </w:p>
          <w:p>
            <w:pPr>
              <w:pStyle w:val="2"/>
              <w:spacing w:line="240" w:lineRule="auto"/>
              <w:ind w:firstLine="0" w:firstLineChars="0"/>
              <w:jc w:val="center"/>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5</w:t>
            </w:r>
            <w:r>
              <w:rPr>
                <w:rFonts w:hint="eastAsia" w:ascii="宋体" w:hAnsi="宋体" w:cs="宋体"/>
                <w:bCs/>
                <w:color w:val="auto"/>
                <w:sz w:val="21"/>
                <w:szCs w:val="21"/>
              </w:rPr>
              <w:t>分</w:t>
            </w:r>
            <w:r>
              <w:rPr>
                <w:rFonts w:hint="eastAsia" w:ascii="宋体" w:hAnsi="宋体"/>
                <w:color w:val="auto"/>
                <w:sz w:val="21"/>
                <w:szCs w:val="21"/>
              </w:rPr>
              <w:t>）</w:t>
            </w:r>
          </w:p>
        </w:tc>
        <w:tc>
          <w:tcPr>
            <w:tcW w:w="3967" w:type="dxa"/>
            <w:vAlign w:val="center"/>
          </w:tcPr>
          <w:p>
            <w:pPr>
              <w:rPr>
                <w:rFonts w:ascii="宋体" w:hAnsi="宋体" w:cs="宋体"/>
                <w:bCs/>
                <w:spacing w:val="-14"/>
                <w:szCs w:val="21"/>
              </w:rPr>
            </w:pPr>
            <w:r>
              <w:rPr>
                <w:rFonts w:hint="eastAsia" w:ascii="宋体" w:hAnsi="宋体" w:cs="宋体"/>
                <w:bCs/>
                <w:spacing w:val="-14"/>
                <w:szCs w:val="21"/>
              </w:rPr>
              <w:t>对照项目实际，依据国家、地方相关规定，理赔流程、理赔时效和质量保证措施完善的，能够有效保障招标人合法权益的</w:t>
            </w:r>
          </w:p>
        </w:tc>
        <w:tc>
          <w:tcPr>
            <w:tcW w:w="1410" w:type="dxa"/>
            <w:vAlign w:val="center"/>
          </w:tcPr>
          <w:p>
            <w:pPr>
              <w:pStyle w:val="24"/>
              <w:jc w:val="center"/>
              <w:rPr>
                <w:rFonts w:cs="宋体"/>
                <w:bCs/>
                <w:sz w:val="21"/>
                <w:szCs w:val="21"/>
              </w:rPr>
            </w:pPr>
            <w:r>
              <w:rPr>
                <w:rFonts w:cs="宋体"/>
                <w:bCs/>
                <w:sz w:val="21"/>
                <w:szCs w:val="21"/>
              </w:rPr>
              <w:t>4.1</w:t>
            </w:r>
            <w:r>
              <w:rPr>
                <w:rFonts w:hint="eastAsia" w:cs="宋体"/>
                <w:bCs/>
                <w:sz w:val="21"/>
                <w:szCs w:val="21"/>
              </w:rPr>
              <w:t>-</w:t>
            </w:r>
            <w:r>
              <w:rPr>
                <w:rFonts w:cs="宋体"/>
                <w:bCs/>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对照项目实际，依据国家、地方相关规定，理赔流程、理赔时效和质量保证措施较好的，能够较为全面保障招标人合法权益的</w:t>
            </w:r>
          </w:p>
        </w:tc>
        <w:tc>
          <w:tcPr>
            <w:tcW w:w="1410" w:type="dxa"/>
            <w:vAlign w:val="center"/>
          </w:tcPr>
          <w:p>
            <w:pPr>
              <w:pStyle w:val="24"/>
              <w:jc w:val="center"/>
              <w:rPr>
                <w:rFonts w:cs="宋体"/>
                <w:bCs/>
                <w:sz w:val="21"/>
                <w:szCs w:val="21"/>
              </w:rPr>
            </w:pPr>
            <w:r>
              <w:rPr>
                <w:rFonts w:cs="宋体"/>
                <w:bCs/>
                <w:sz w:val="21"/>
                <w:szCs w:val="21"/>
              </w:rPr>
              <w:t>3.1</w:t>
            </w:r>
            <w:r>
              <w:rPr>
                <w:rFonts w:hint="eastAsia" w:cs="宋体"/>
                <w:bCs/>
                <w:sz w:val="21"/>
                <w:szCs w:val="21"/>
              </w:rPr>
              <w:t>-</w:t>
            </w:r>
            <w:r>
              <w:rPr>
                <w:rFonts w:cs="宋体"/>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对照项目实际，依据国家、地方相关规定，理赔流程、理赔时效和质量保证措施一般的，基本能够保障招标人合法权益的</w:t>
            </w:r>
          </w:p>
        </w:tc>
        <w:tc>
          <w:tcPr>
            <w:tcW w:w="1410" w:type="dxa"/>
            <w:vAlign w:val="center"/>
          </w:tcPr>
          <w:p>
            <w:pPr>
              <w:pStyle w:val="24"/>
              <w:jc w:val="center"/>
              <w:rPr>
                <w:rFonts w:cs="宋体"/>
                <w:bCs/>
                <w:sz w:val="21"/>
                <w:szCs w:val="21"/>
              </w:rPr>
            </w:pPr>
            <w:r>
              <w:rPr>
                <w:rFonts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restart"/>
            <w:vAlign w:val="center"/>
          </w:tcPr>
          <w:p>
            <w:pPr>
              <w:jc w:val="center"/>
              <w:rPr>
                <w:rFonts w:ascii="宋体" w:hAnsi="宋体" w:cs="宋体"/>
                <w:bCs/>
                <w:szCs w:val="21"/>
              </w:rPr>
            </w:pPr>
            <w:r>
              <w:rPr>
                <w:rFonts w:hint="eastAsia" w:ascii="宋体" w:hAnsi="宋体" w:cs="宋体"/>
                <w:bCs/>
                <w:szCs w:val="21"/>
              </w:rPr>
              <w:t>服务团队设置</w:t>
            </w:r>
          </w:p>
          <w:p>
            <w:pPr>
              <w:jc w:val="center"/>
              <w:rPr>
                <w:rFonts w:ascii="宋体" w:hAnsi="宋体" w:cs="宋体"/>
                <w:bCs/>
                <w:szCs w:val="21"/>
              </w:rPr>
            </w:pPr>
            <w:r>
              <w:rPr>
                <w:rFonts w:hint="eastAsia" w:ascii="宋体" w:hAnsi="宋体" w:cs="宋体"/>
                <w:bCs/>
                <w:szCs w:val="21"/>
              </w:rPr>
              <w:t>评价</w:t>
            </w:r>
          </w:p>
          <w:p>
            <w:pPr>
              <w:pStyle w:val="2"/>
              <w:spacing w:line="240" w:lineRule="auto"/>
              <w:ind w:firstLine="0" w:firstLineChars="0"/>
              <w:jc w:val="center"/>
              <w:rPr>
                <w:rFonts w:ascii="宋体" w:hAnsi="宋体"/>
                <w:color w:val="auto"/>
                <w:sz w:val="21"/>
                <w:szCs w:val="21"/>
              </w:rPr>
            </w:pPr>
            <w:r>
              <w:rPr>
                <w:rFonts w:hint="eastAsia" w:ascii="宋体" w:hAnsi="宋体"/>
                <w:color w:val="auto"/>
                <w:sz w:val="21"/>
                <w:szCs w:val="21"/>
              </w:rPr>
              <w:t>（5</w:t>
            </w:r>
            <w:r>
              <w:rPr>
                <w:rFonts w:hint="eastAsia" w:ascii="宋体" w:hAnsi="宋体" w:cs="宋体"/>
                <w:bCs/>
                <w:color w:val="auto"/>
                <w:sz w:val="21"/>
                <w:szCs w:val="21"/>
              </w:rPr>
              <w:t>分</w:t>
            </w:r>
            <w:r>
              <w:rPr>
                <w:rFonts w:hint="eastAsia" w:ascii="宋体" w:hAnsi="宋体"/>
                <w:color w:val="auto"/>
                <w:sz w:val="21"/>
                <w:szCs w:val="21"/>
              </w:rPr>
              <w:t>）</w:t>
            </w:r>
          </w:p>
        </w:tc>
        <w:tc>
          <w:tcPr>
            <w:tcW w:w="3967" w:type="dxa"/>
            <w:vAlign w:val="center"/>
          </w:tcPr>
          <w:p>
            <w:pPr>
              <w:rPr>
                <w:rFonts w:ascii="宋体" w:hAnsi="宋体" w:cs="宋体"/>
                <w:bCs/>
                <w:spacing w:val="-14"/>
                <w:szCs w:val="21"/>
              </w:rPr>
            </w:pPr>
            <w:r>
              <w:rPr>
                <w:rFonts w:hint="eastAsia" w:ascii="宋体" w:hAnsi="宋体" w:cs="宋体"/>
                <w:bCs/>
                <w:spacing w:val="-14"/>
                <w:szCs w:val="21"/>
              </w:rPr>
              <w:t>有专门的服务团队，组织、结构、人员构成完善</w:t>
            </w:r>
          </w:p>
        </w:tc>
        <w:tc>
          <w:tcPr>
            <w:tcW w:w="1410" w:type="dxa"/>
            <w:vAlign w:val="center"/>
          </w:tcPr>
          <w:p>
            <w:pPr>
              <w:pStyle w:val="24"/>
              <w:jc w:val="center"/>
              <w:rPr>
                <w:rFonts w:cs="宋体"/>
                <w:bCs/>
                <w:sz w:val="21"/>
                <w:szCs w:val="21"/>
              </w:rPr>
            </w:pPr>
            <w:r>
              <w:rPr>
                <w:rFonts w:cs="宋体"/>
                <w:bCs/>
                <w:sz w:val="21"/>
                <w:szCs w:val="21"/>
              </w:rPr>
              <w:t>4.1</w:t>
            </w:r>
            <w:r>
              <w:rPr>
                <w:rFonts w:hint="eastAsia" w:cs="宋体"/>
                <w:bCs/>
                <w:sz w:val="21"/>
                <w:szCs w:val="21"/>
              </w:rPr>
              <w:t>-</w:t>
            </w:r>
            <w:r>
              <w:rPr>
                <w:rFonts w:cs="宋体"/>
                <w:bCs/>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有专门的服务团队，组织、结构、人员构成较好</w:t>
            </w:r>
          </w:p>
        </w:tc>
        <w:tc>
          <w:tcPr>
            <w:tcW w:w="1410" w:type="dxa"/>
            <w:vAlign w:val="center"/>
          </w:tcPr>
          <w:p>
            <w:pPr>
              <w:pStyle w:val="24"/>
              <w:jc w:val="center"/>
              <w:rPr>
                <w:rFonts w:cs="宋体"/>
                <w:bCs/>
                <w:sz w:val="21"/>
                <w:szCs w:val="21"/>
              </w:rPr>
            </w:pPr>
            <w:r>
              <w:rPr>
                <w:rFonts w:cs="宋体"/>
                <w:bCs/>
                <w:sz w:val="21"/>
                <w:szCs w:val="21"/>
              </w:rPr>
              <w:t>3.1</w:t>
            </w:r>
            <w:r>
              <w:rPr>
                <w:rFonts w:hint="eastAsia" w:cs="宋体"/>
                <w:bCs/>
                <w:sz w:val="21"/>
                <w:szCs w:val="21"/>
              </w:rPr>
              <w:t>-</w:t>
            </w:r>
            <w:r>
              <w:rPr>
                <w:rFonts w:cs="宋体"/>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pacing w:val="-14"/>
                <w:szCs w:val="21"/>
              </w:rPr>
              <w:t>有专门的服务团队，组织、结构、人员构成一般</w:t>
            </w:r>
          </w:p>
        </w:tc>
        <w:tc>
          <w:tcPr>
            <w:tcW w:w="1410" w:type="dxa"/>
            <w:vAlign w:val="center"/>
          </w:tcPr>
          <w:p>
            <w:pPr>
              <w:pStyle w:val="24"/>
              <w:jc w:val="center"/>
              <w:rPr>
                <w:rFonts w:cs="宋体"/>
                <w:bCs/>
                <w:sz w:val="21"/>
                <w:szCs w:val="21"/>
              </w:rPr>
            </w:pPr>
            <w:r>
              <w:rPr>
                <w:rFonts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restart"/>
            <w:vAlign w:val="center"/>
          </w:tcPr>
          <w:p>
            <w:pPr>
              <w:jc w:val="center"/>
              <w:rPr>
                <w:rFonts w:ascii="宋体" w:hAnsi="宋体" w:cs="宋体"/>
                <w:bCs/>
                <w:szCs w:val="21"/>
              </w:rPr>
            </w:pPr>
            <w:r>
              <w:rPr>
                <w:rFonts w:hint="eastAsia" w:ascii="宋体" w:hAnsi="宋体" w:cs="宋体"/>
                <w:bCs/>
                <w:szCs w:val="21"/>
              </w:rPr>
              <w:t>保险理赔优化建议（</w:t>
            </w:r>
            <w:r>
              <w:rPr>
                <w:rFonts w:ascii="宋体" w:hAnsi="宋体" w:cs="宋体"/>
                <w:bCs/>
                <w:szCs w:val="21"/>
              </w:rPr>
              <w:t>10</w:t>
            </w:r>
            <w:r>
              <w:rPr>
                <w:rFonts w:hint="eastAsia" w:ascii="宋体" w:hAnsi="宋体" w:cs="宋体"/>
                <w:bCs/>
                <w:szCs w:val="21"/>
              </w:rPr>
              <w:t>分）</w:t>
            </w:r>
          </w:p>
        </w:tc>
        <w:tc>
          <w:tcPr>
            <w:tcW w:w="3967" w:type="dxa"/>
            <w:vAlign w:val="center"/>
          </w:tcPr>
          <w:p>
            <w:pPr>
              <w:rPr>
                <w:rFonts w:ascii="宋体" w:hAnsi="宋体" w:cs="宋体"/>
                <w:bCs/>
                <w:spacing w:val="-14"/>
                <w:szCs w:val="21"/>
              </w:rPr>
            </w:pPr>
            <w:r>
              <w:rPr>
                <w:rFonts w:hint="eastAsia" w:ascii="宋体" w:hAnsi="宋体" w:cs="宋体"/>
                <w:bCs/>
                <w:szCs w:val="21"/>
              </w:rPr>
              <w:t>针对项目实际及高速公路行业情况，提供的个性化、细致化服务完善的</w:t>
            </w:r>
          </w:p>
        </w:tc>
        <w:tc>
          <w:tcPr>
            <w:tcW w:w="1410" w:type="dxa"/>
            <w:vAlign w:val="center"/>
          </w:tcPr>
          <w:p>
            <w:pPr>
              <w:pStyle w:val="24"/>
              <w:jc w:val="center"/>
              <w:rPr>
                <w:rFonts w:cs="宋体"/>
                <w:bCs/>
                <w:sz w:val="21"/>
                <w:szCs w:val="21"/>
              </w:rPr>
            </w:pPr>
            <w:r>
              <w:rPr>
                <w:rFonts w:cs="宋体"/>
                <w:bCs/>
                <w:sz w:val="21"/>
                <w:szCs w:val="21"/>
              </w:rPr>
              <w:t>8.1-10.0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zCs w:val="21"/>
              </w:rPr>
              <w:t>针对项目实际及高速公路行业情况，提供的个性化、细致化服务较好的</w:t>
            </w:r>
          </w:p>
        </w:tc>
        <w:tc>
          <w:tcPr>
            <w:tcW w:w="1410" w:type="dxa"/>
            <w:vAlign w:val="center"/>
          </w:tcPr>
          <w:p>
            <w:pPr>
              <w:pStyle w:val="24"/>
              <w:jc w:val="center"/>
              <w:rPr>
                <w:rFonts w:cs="宋体"/>
                <w:bCs/>
                <w:sz w:val="21"/>
                <w:szCs w:val="21"/>
              </w:rPr>
            </w:pPr>
            <w:r>
              <w:rPr>
                <w:rFonts w:cs="宋体"/>
                <w:bCs/>
                <w:sz w:val="21"/>
                <w:szCs w:val="21"/>
              </w:rPr>
              <w:t>6.1-8.0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Merge w:val="continue"/>
            <w:vAlign w:val="center"/>
          </w:tcPr>
          <w:p>
            <w:pPr>
              <w:jc w:val="center"/>
              <w:rPr>
                <w:rFonts w:ascii="宋体" w:hAnsi="宋体" w:cs="宋体"/>
                <w:bCs/>
                <w:szCs w:val="21"/>
              </w:rPr>
            </w:pPr>
          </w:p>
        </w:tc>
        <w:tc>
          <w:tcPr>
            <w:tcW w:w="3967" w:type="dxa"/>
            <w:vAlign w:val="center"/>
          </w:tcPr>
          <w:p>
            <w:pPr>
              <w:rPr>
                <w:rFonts w:ascii="宋体" w:hAnsi="宋体" w:cs="宋体"/>
                <w:bCs/>
                <w:spacing w:val="-14"/>
                <w:szCs w:val="21"/>
              </w:rPr>
            </w:pPr>
            <w:r>
              <w:rPr>
                <w:rFonts w:hint="eastAsia" w:ascii="宋体" w:hAnsi="宋体" w:cs="宋体"/>
                <w:bCs/>
                <w:szCs w:val="21"/>
              </w:rPr>
              <w:t>针对项目实际及高速公路行业情况，提供的个性化、细致化服务一般的</w:t>
            </w:r>
          </w:p>
        </w:tc>
        <w:tc>
          <w:tcPr>
            <w:tcW w:w="1410" w:type="dxa"/>
            <w:vAlign w:val="center"/>
          </w:tcPr>
          <w:p>
            <w:pPr>
              <w:pStyle w:val="24"/>
              <w:jc w:val="center"/>
              <w:rPr>
                <w:rFonts w:cs="宋体"/>
                <w:bCs/>
                <w:sz w:val="21"/>
                <w:szCs w:val="21"/>
              </w:rPr>
            </w:pPr>
            <w:r>
              <w:rPr>
                <w:rFonts w:cs="宋体"/>
                <w:bCs/>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Align w:val="center"/>
          </w:tcPr>
          <w:p>
            <w:pPr>
              <w:widowControl/>
              <w:ind w:right="-92" w:rightChars="-44"/>
              <w:rPr>
                <w:rFonts w:ascii="宋体" w:hAnsi="宋体" w:cs="宋体"/>
                <w:bCs/>
                <w:spacing w:val="-4"/>
                <w:szCs w:val="21"/>
              </w:rPr>
            </w:pPr>
            <w:r>
              <w:rPr>
                <w:rFonts w:hint="eastAsia" w:ascii="宋体" w:hAnsi="宋体" w:cs="宋体"/>
                <w:bCs/>
                <w:spacing w:val="-4"/>
                <w:szCs w:val="21"/>
              </w:rPr>
              <w:t>投标人所属集团、总公司的</w:t>
            </w:r>
            <w:r>
              <w:rPr>
                <w:rFonts w:ascii="宋体" w:hAnsi="宋体" w:cs="宋体"/>
                <w:bCs/>
                <w:spacing w:val="-4"/>
                <w:szCs w:val="21"/>
              </w:rPr>
              <w:t>2021年度原保险保费收入</w:t>
            </w:r>
            <w:r>
              <w:rPr>
                <w:rFonts w:hint="eastAsia" w:ascii="宋体" w:hAnsi="宋体" w:cs="宋体"/>
                <w:bCs/>
                <w:spacing w:val="-4"/>
                <w:szCs w:val="21"/>
              </w:rPr>
              <w:t>评价</w:t>
            </w:r>
          </w:p>
          <w:p>
            <w:pPr>
              <w:widowControl/>
              <w:ind w:left="-115" w:leftChars="-55" w:right="-92" w:rightChars="-44"/>
              <w:jc w:val="center"/>
              <w:rPr>
                <w:rFonts w:ascii="宋体" w:hAnsi="宋体" w:cs="宋体"/>
                <w:bCs/>
                <w:spacing w:val="-4"/>
                <w:kern w:val="0"/>
                <w:szCs w:val="21"/>
              </w:rPr>
            </w:pPr>
            <w:r>
              <w:rPr>
                <w:rFonts w:hint="eastAsia" w:ascii="宋体" w:hAnsi="宋体" w:cs="宋体"/>
                <w:bCs/>
                <w:spacing w:val="-4"/>
                <w:kern w:val="0"/>
                <w:szCs w:val="21"/>
              </w:rPr>
              <w:t>（</w:t>
            </w:r>
            <w:r>
              <w:rPr>
                <w:rFonts w:ascii="宋体" w:hAnsi="宋体" w:cs="宋体"/>
                <w:bCs/>
                <w:spacing w:val="-4"/>
                <w:kern w:val="0"/>
                <w:szCs w:val="21"/>
              </w:rPr>
              <w:t>5</w:t>
            </w:r>
            <w:r>
              <w:rPr>
                <w:rFonts w:hint="eastAsia" w:ascii="宋体" w:hAnsi="宋体" w:cs="宋体"/>
                <w:bCs/>
                <w:szCs w:val="21"/>
              </w:rPr>
              <w:t>分</w:t>
            </w:r>
            <w:r>
              <w:rPr>
                <w:rFonts w:hint="eastAsia" w:ascii="宋体" w:hAnsi="宋体" w:cs="宋体"/>
                <w:bCs/>
                <w:spacing w:val="-4"/>
                <w:kern w:val="0"/>
                <w:szCs w:val="21"/>
              </w:rPr>
              <w:t>）</w:t>
            </w:r>
          </w:p>
          <w:p>
            <w:pPr>
              <w:rPr>
                <w:rFonts w:ascii="宋体" w:hAnsi="宋体" w:cs="宋体"/>
                <w:bCs/>
                <w:szCs w:val="21"/>
              </w:rPr>
            </w:pPr>
            <w:r>
              <w:rPr>
                <w:rFonts w:hint="eastAsia" w:ascii="宋体" w:hAnsi="宋体"/>
                <w:bCs/>
                <w:spacing w:val="-4"/>
                <w:kern w:val="0"/>
                <w:szCs w:val="21"/>
              </w:rPr>
              <w:t>注：（</w:t>
            </w:r>
            <w:r>
              <w:rPr>
                <w:rFonts w:ascii="宋体" w:hAnsi="宋体"/>
                <w:bCs/>
                <w:spacing w:val="-4"/>
                <w:kern w:val="0"/>
                <w:szCs w:val="21"/>
              </w:rPr>
              <w:t>1</w:t>
            </w:r>
            <w:r>
              <w:rPr>
                <w:rFonts w:hint="eastAsia" w:ascii="宋体" w:hAnsi="宋体"/>
                <w:bCs/>
                <w:spacing w:val="-4"/>
                <w:kern w:val="0"/>
                <w:szCs w:val="21"/>
              </w:rPr>
              <w:t>）应提供</w:t>
            </w:r>
            <w:r>
              <w:rPr>
                <w:rFonts w:ascii="宋体" w:hAnsi="宋体"/>
                <w:bCs/>
                <w:spacing w:val="-4"/>
                <w:kern w:val="0"/>
                <w:szCs w:val="21"/>
              </w:rPr>
              <w:t>2021</w:t>
            </w:r>
            <w:r>
              <w:rPr>
                <w:rFonts w:hint="eastAsia" w:ascii="宋体" w:hAnsi="宋体"/>
                <w:bCs/>
                <w:spacing w:val="-4"/>
                <w:kern w:val="0"/>
                <w:szCs w:val="21"/>
              </w:rPr>
              <w:t>年度经会计师事务所审计的财务报告首页及能显示出评审内容的关键页扫描件，否则不得分。（</w:t>
            </w:r>
            <w:r>
              <w:rPr>
                <w:rFonts w:ascii="宋体" w:hAnsi="宋体"/>
                <w:bCs/>
                <w:spacing w:val="-4"/>
                <w:kern w:val="0"/>
                <w:szCs w:val="21"/>
              </w:rPr>
              <w:t>2</w:t>
            </w:r>
            <w:r>
              <w:rPr>
                <w:rFonts w:hint="eastAsia" w:ascii="宋体" w:hAnsi="宋体"/>
                <w:bCs/>
                <w:spacing w:val="-4"/>
                <w:kern w:val="0"/>
                <w:szCs w:val="21"/>
              </w:rPr>
              <w:t>）以联合体形式参加投标的，以联合体牵头人所附内容计算。</w:t>
            </w:r>
          </w:p>
        </w:tc>
        <w:tc>
          <w:tcPr>
            <w:tcW w:w="5377" w:type="dxa"/>
            <w:gridSpan w:val="2"/>
            <w:vAlign w:val="center"/>
          </w:tcPr>
          <w:p>
            <w:pPr>
              <w:rPr>
                <w:rFonts w:ascii="宋体" w:hAnsi="宋体" w:cs="宋体"/>
                <w:bCs/>
                <w:spacing w:val="-4"/>
                <w:kern w:val="0"/>
                <w:szCs w:val="21"/>
              </w:rPr>
            </w:pPr>
            <w:r>
              <w:rPr>
                <w:rFonts w:hint="eastAsia" w:ascii="宋体" w:hAnsi="宋体" w:cs="宋体"/>
                <w:bCs/>
                <w:spacing w:val="-4"/>
                <w:kern w:val="0"/>
                <w:szCs w:val="21"/>
              </w:rPr>
              <w:t>N1=保费收入：</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（1）当N1≥</w:t>
            </w:r>
            <w:r>
              <w:rPr>
                <w:rFonts w:ascii="宋体" w:hAnsi="宋体" w:cs="宋体"/>
                <w:bCs/>
                <w:color w:val="auto"/>
                <w:spacing w:val="-4"/>
                <w:sz w:val="21"/>
                <w:szCs w:val="21"/>
              </w:rPr>
              <w:t>1000亿元人民币时，本项得</w:t>
            </w:r>
            <w:r>
              <w:rPr>
                <w:rFonts w:hint="eastAsia" w:ascii="宋体" w:hAnsi="宋体" w:cs="宋体"/>
                <w:bCs/>
                <w:color w:val="auto"/>
                <w:spacing w:val="-4"/>
                <w:sz w:val="21"/>
                <w:szCs w:val="21"/>
              </w:rPr>
              <w:t>5分；</w:t>
            </w:r>
          </w:p>
          <w:p>
            <w:pPr>
              <w:pStyle w:val="4"/>
              <w:ind w:left="0" w:firstLine="0"/>
              <w:rPr>
                <w:rFonts w:ascii="宋体" w:hAnsi="宋体" w:cs="宋体"/>
                <w:bCs/>
                <w:spacing w:val="-4"/>
                <w:szCs w:val="21"/>
              </w:rPr>
            </w:pPr>
            <w:r>
              <w:rPr>
                <w:rFonts w:hint="eastAsia" w:ascii="宋体" w:hAnsi="宋体"/>
                <w:szCs w:val="21"/>
              </w:rPr>
              <w:t>（2）当300</w:t>
            </w:r>
            <w:r>
              <w:rPr>
                <w:rFonts w:ascii="宋体" w:hAnsi="宋体" w:cs="宋体"/>
                <w:bCs/>
                <w:spacing w:val="-4"/>
                <w:kern w:val="0"/>
                <w:szCs w:val="21"/>
              </w:rPr>
              <w:t>亿元</w:t>
            </w:r>
            <w:r>
              <w:rPr>
                <w:rFonts w:ascii="宋体" w:hAnsi="宋体" w:cs="宋体"/>
                <w:bCs/>
                <w:spacing w:val="-4"/>
                <w:szCs w:val="21"/>
              </w:rPr>
              <w:t>人民币</w:t>
            </w:r>
            <w:r>
              <w:rPr>
                <w:rFonts w:hint="eastAsia" w:ascii="宋体" w:hAnsi="宋体"/>
                <w:szCs w:val="21"/>
              </w:rPr>
              <w:t>＜N1＜1000</w:t>
            </w:r>
            <w:r>
              <w:rPr>
                <w:rFonts w:ascii="宋体" w:hAnsi="宋体" w:cs="宋体"/>
                <w:bCs/>
                <w:spacing w:val="-4"/>
                <w:kern w:val="0"/>
                <w:szCs w:val="21"/>
              </w:rPr>
              <w:t>亿元</w:t>
            </w:r>
            <w:r>
              <w:rPr>
                <w:rFonts w:ascii="宋体" w:hAnsi="宋体" w:cs="宋体"/>
                <w:bCs/>
                <w:spacing w:val="-4"/>
                <w:szCs w:val="21"/>
              </w:rPr>
              <w:t>人民币时</w:t>
            </w:r>
          </w:p>
          <w:p>
            <w:pPr>
              <w:pStyle w:val="4"/>
              <w:ind w:left="0" w:firstLine="0"/>
              <w:rPr>
                <w:rFonts w:ascii="宋体" w:hAnsi="宋体"/>
                <w:szCs w:val="21"/>
              </w:rPr>
            </w:pPr>
            <w:r>
              <w:rPr>
                <w:rFonts w:hint="eastAsia" w:ascii="宋体" w:hAnsi="宋体"/>
                <w:szCs w:val="21"/>
              </w:rPr>
              <w:t>本项得分(计算保留1位小数)=3+[（N1-300）/700*2]</w:t>
            </w:r>
          </w:p>
          <w:p>
            <w:pPr>
              <w:pStyle w:val="4"/>
              <w:ind w:left="0" w:firstLine="0"/>
              <w:rPr>
                <w:rFonts w:ascii="宋体" w:hAnsi="宋体" w:cs="宋体"/>
                <w:bCs/>
                <w:spacing w:val="-4"/>
                <w:szCs w:val="21"/>
              </w:rPr>
            </w:pPr>
            <w:r>
              <w:rPr>
                <w:rFonts w:hint="eastAsia" w:ascii="宋体" w:hAnsi="宋体" w:cs="宋体"/>
                <w:bCs/>
                <w:spacing w:val="-4"/>
                <w:szCs w:val="21"/>
              </w:rPr>
              <w:t>注：此公式N1单位为</w:t>
            </w:r>
            <w:r>
              <w:rPr>
                <w:rFonts w:ascii="宋体" w:hAnsi="宋体" w:cs="宋体"/>
                <w:bCs/>
                <w:spacing w:val="-4"/>
                <w:szCs w:val="21"/>
              </w:rPr>
              <w:t>亿元人民币</w:t>
            </w:r>
            <w:r>
              <w:rPr>
                <w:rFonts w:hint="eastAsia" w:ascii="宋体" w:hAnsi="宋体" w:cs="宋体"/>
                <w:bCs/>
                <w:spacing w:val="-4"/>
                <w:szCs w:val="21"/>
              </w:rPr>
              <w:t>；</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（3）当N1＝</w:t>
            </w:r>
            <w:r>
              <w:rPr>
                <w:rFonts w:hint="eastAsia" w:ascii="宋体" w:hAnsi="宋体" w:cs="宋体"/>
                <w:bCs/>
                <w:color w:val="auto"/>
                <w:spacing w:val="-4"/>
                <w:sz w:val="21"/>
                <w:szCs w:val="21"/>
              </w:rPr>
              <w:t>3</w:t>
            </w:r>
            <w:r>
              <w:rPr>
                <w:rFonts w:ascii="宋体" w:hAnsi="宋体" w:cs="宋体"/>
                <w:bCs/>
                <w:color w:val="auto"/>
                <w:spacing w:val="-4"/>
                <w:sz w:val="21"/>
                <w:szCs w:val="21"/>
              </w:rPr>
              <w:t>00亿元人民币时，本项得</w:t>
            </w:r>
            <w:r>
              <w:rPr>
                <w:rFonts w:hint="eastAsia" w:ascii="宋体" w:hAnsi="宋体" w:cs="宋体"/>
                <w:bCs/>
                <w:color w:val="auto"/>
                <w:spacing w:val="-4"/>
                <w:sz w:val="21"/>
                <w:szCs w:val="21"/>
              </w:rPr>
              <w:t>3分；</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（4）当N1＜</w:t>
            </w:r>
            <w:r>
              <w:rPr>
                <w:rFonts w:hint="eastAsia" w:ascii="宋体" w:hAnsi="宋体" w:cs="宋体"/>
                <w:bCs/>
                <w:color w:val="auto"/>
                <w:spacing w:val="-4"/>
                <w:sz w:val="21"/>
                <w:szCs w:val="21"/>
              </w:rPr>
              <w:t>3</w:t>
            </w:r>
            <w:r>
              <w:rPr>
                <w:rFonts w:ascii="宋体" w:hAnsi="宋体" w:cs="宋体"/>
                <w:bCs/>
                <w:color w:val="auto"/>
                <w:spacing w:val="-4"/>
                <w:sz w:val="21"/>
                <w:szCs w:val="21"/>
              </w:rPr>
              <w:t>00亿元人民币时，本项得</w:t>
            </w:r>
            <w:r>
              <w:rPr>
                <w:rFonts w:hint="eastAsia" w:ascii="宋体" w:hAnsi="宋体" w:cs="宋体"/>
                <w:bCs/>
                <w:color w:val="auto"/>
                <w:spacing w:val="-4"/>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886" w:type="dxa"/>
            <w:vMerge w:val="continue"/>
          </w:tcPr>
          <w:p>
            <w:pPr>
              <w:jc w:val="center"/>
              <w:rPr>
                <w:rFonts w:ascii="宋体" w:hAnsi="宋体" w:cs="宋体"/>
                <w:bCs/>
                <w:szCs w:val="21"/>
              </w:rPr>
            </w:pPr>
          </w:p>
        </w:tc>
        <w:tc>
          <w:tcPr>
            <w:tcW w:w="1236" w:type="dxa"/>
            <w:vMerge w:val="continue"/>
          </w:tcPr>
          <w:p>
            <w:pPr>
              <w:jc w:val="center"/>
              <w:rPr>
                <w:rFonts w:ascii="宋体" w:hAnsi="宋体" w:cs="宋体"/>
                <w:bCs/>
                <w:szCs w:val="21"/>
              </w:rPr>
            </w:pPr>
          </w:p>
        </w:tc>
        <w:tc>
          <w:tcPr>
            <w:tcW w:w="1842" w:type="dxa"/>
            <w:vAlign w:val="center"/>
          </w:tcPr>
          <w:p>
            <w:pPr>
              <w:widowControl/>
              <w:ind w:left="-42" w:leftChars="-20" w:right="-31" w:rightChars="-15"/>
              <w:jc w:val="center"/>
              <w:rPr>
                <w:rFonts w:ascii="宋体" w:hAnsi="宋体" w:cs="宋体"/>
                <w:bCs/>
                <w:kern w:val="0"/>
                <w:szCs w:val="21"/>
              </w:rPr>
            </w:pPr>
            <w:r>
              <w:rPr>
                <w:rFonts w:ascii="宋体" w:hAnsi="宋体" w:cs="宋体"/>
                <w:bCs/>
                <w:kern w:val="0"/>
                <w:szCs w:val="21"/>
              </w:rPr>
              <w:t>2021年末投标人所属集团、总公司综合偿付能力</w:t>
            </w:r>
          </w:p>
          <w:p>
            <w:pPr>
              <w:widowControl/>
              <w:ind w:left="-42" w:leftChars="-20" w:right="-31" w:rightChars="-15"/>
              <w:jc w:val="center"/>
              <w:rPr>
                <w:rFonts w:ascii="宋体" w:hAnsi="宋体" w:cs="宋体"/>
                <w:bCs/>
                <w:kern w:val="0"/>
                <w:szCs w:val="21"/>
              </w:rPr>
            </w:pPr>
            <w:r>
              <w:rPr>
                <w:rFonts w:ascii="宋体" w:hAnsi="宋体" w:cs="宋体"/>
                <w:bCs/>
                <w:kern w:val="0"/>
                <w:szCs w:val="21"/>
              </w:rPr>
              <w:t>充足率</w:t>
            </w:r>
            <w:r>
              <w:rPr>
                <w:rFonts w:hint="eastAsia" w:ascii="宋体" w:hAnsi="宋体" w:cs="宋体"/>
                <w:bCs/>
                <w:kern w:val="0"/>
                <w:szCs w:val="21"/>
              </w:rPr>
              <w:t>评价</w:t>
            </w:r>
          </w:p>
          <w:p>
            <w:pPr>
              <w:widowControl/>
              <w:ind w:left="-42" w:leftChars="-20" w:right="-31" w:rightChars="-15"/>
              <w:jc w:val="cente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10</w:t>
            </w:r>
            <w:r>
              <w:rPr>
                <w:rFonts w:hint="eastAsia" w:ascii="宋体" w:hAnsi="宋体" w:cs="宋体"/>
                <w:bCs/>
                <w:szCs w:val="21"/>
              </w:rPr>
              <w:t>分</w:t>
            </w:r>
            <w:r>
              <w:rPr>
                <w:rFonts w:hint="eastAsia" w:ascii="宋体" w:hAnsi="宋体" w:cs="宋体"/>
                <w:bCs/>
                <w:kern w:val="0"/>
                <w:szCs w:val="21"/>
              </w:rPr>
              <w:t>）</w:t>
            </w:r>
          </w:p>
          <w:p>
            <w:pPr>
              <w:rPr>
                <w:rFonts w:ascii="宋体" w:hAnsi="宋体" w:cs="宋体"/>
                <w:bCs/>
                <w:szCs w:val="21"/>
              </w:rPr>
            </w:pPr>
            <w:r>
              <w:rPr>
                <w:rFonts w:hint="eastAsia" w:ascii="宋体" w:hAnsi="宋体"/>
                <w:bCs/>
                <w:spacing w:val="-4"/>
                <w:szCs w:val="21"/>
              </w:rPr>
              <w:t>注：（1）应提供2021年度经会计师事务所审计的财务报告</w:t>
            </w:r>
            <w:r>
              <w:rPr>
                <w:rFonts w:hint="eastAsia" w:ascii="宋体" w:hAnsi="宋体"/>
                <w:bCs/>
                <w:spacing w:val="-4"/>
                <w:kern w:val="0"/>
                <w:szCs w:val="21"/>
              </w:rPr>
              <w:t>首页</w:t>
            </w:r>
            <w:r>
              <w:rPr>
                <w:rFonts w:hint="eastAsia" w:ascii="宋体" w:hAnsi="宋体"/>
                <w:bCs/>
                <w:spacing w:val="-4"/>
                <w:szCs w:val="21"/>
              </w:rPr>
              <w:t>及能显示出评审内容的关键页扫描件，否则不得分。（2）以联合体形式参加投标的，以联合体牵头人所附内容计算。</w:t>
            </w:r>
          </w:p>
        </w:tc>
        <w:tc>
          <w:tcPr>
            <w:tcW w:w="5377" w:type="dxa"/>
            <w:gridSpan w:val="2"/>
            <w:vAlign w:val="center"/>
          </w:tcPr>
          <w:p>
            <w:pPr>
              <w:rPr>
                <w:rFonts w:ascii="宋体" w:hAnsi="宋体" w:cs="宋体"/>
                <w:bCs/>
                <w:spacing w:val="-4"/>
                <w:kern w:val="0"/>
                <w:szCs w:val="21"/>
              </w:rPr>
            </w:pPr>
            <w:r>
              <w:rPr>
                <w:rFonts w:hint="eastAsia" w:ascii="宋体" w:hAnsi="宋体" w:cs="宋体"/>
                <w:bCs/>
                <w:spacing w:val="-4"/>
                <w:kern w:val="0"/>
                <w:szCs w:val="21"/>
              </w:rPr>
              <w:t>N2=综合偿付能力充足率：</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（1）当N2≥</w:t>
            </w:r>
            <w:r>
              <w:rPr>
                <w:rFonts w:hint="eastAsia" w:ascii="宋体" w:hAnsi="宋体" w:cs="宋体"/>
                <w:bCs/>
                <w:color w:val="auto"/>
                <w:spacing w:val="-4"/>
                <w:sz w:val="21"/>
                <w:szCs w:val="21"/>
              </w:rPr>
              <w:t>200%</w:t>
            </w:r>
            <w:r>
              <w:rPr>
                <w:rFonts w:ascii="宋体" w:hAnsi="宋体" w:cs="宋体"/>
                <w:bCs/>
                <w:color w:val="auto"/>
                <w:spacing w:val="-4"/>
                <w:sz w:val="21"/>
                <w:szCs w:val="21"/>
              </w:rPr>
              <w:t>时，本项得</w:t>
            </w:r>
            <w:r>
              <w:rPr>
                <w:rFonts w:hint="eastAsia" w:ascii="宋体" w:hAnsi="宋体" w:cs="宋体"/>
                <w:bCs/>
                <w:color w:val="auto"/>
                <w:spacing w:val="-4"/>
                <w:sz w:val="21"/>
                <w:szCs w:val="21"/>
              </w:rPr>
              <w:t>10分；</w:t>
            </w:r>
          </w:p>
          <w:p>
            <w:pPr>
              <w:pStyle w:val="4"/>
              <w:ind w:left="0" w:firstLine="0"/>
              <w:rPr>
                <w:rFonts w:ascii="宋体" w:hAnsi="宋体" w:cs="宋体"/>
                <w:bCs/>
                <w:spacing w:val="-4"/>
                <w:szCs w:val="21"/>
              </w:rPr>
            </w:pPr>
            <w:r>
              <w:rPr>
                <w:rFonts w:hint="eastAsia" w:ascii="宋体" w:hAnsi="宋体"/>
                <w:szCs w:val="21"/>
              </w:rPr>
              <w:t>（2）当100%＜N2＜200%</w:t>
            </w:r>
            <w:r>
              <w:rPr>
                <w:rFonts w:ascii="宋体" w:hAnsi="宋体" w:cs="宋体"/>
                <w:bCs/>
                <w:spacing w:val="-4"/>
                <w:szCs w:val="21"/>
              </w:rPr>
              <w:t>时</w:t>
            </w:r>
          </w:p>
          <w:p>
            <w:pPr>
              <w:pStyle w:val="4"/>
              <w:ind w:left="0" w:firstLine="0"/>
              <w:rPr>
                <w:rFonts w:ascii="宋体" w:hAnsi="宋体"/>
                <w:szCs w:val="21"/>
              </w:rPr>
            </w:pPr>
            <w:r>
              <w:rPr>
                <w:rFonts w:hint="eastAsia" w:ascii="宋体" w:hAnsi="宋体"/>
                <w:szCs w:val="21"/>
              </w:rPr>
              <w:t>本项得分(计算保留1位小数)=6+[（N2-100）/100*4]</w:t>
            </w:r>
          </w:p>
          <w:p>
            <w:pPr>
              <w:pStyle w:val="4"/>
              <w:ind w:left="0" w:firstLine="0"/>
              <w:rPr>
                <w:rFonts w:ascii="宋体" w:hAnsi="宋体" w:cs="宋体"/>
                <w:bCs/>
                <w:spacing w:val="-4"/>
                <w:szCs w:val="21"/>
              </w:rPr>
            </w:pPr>
            <w:r>
              <w:rPr>
                <w:rFonts w:hint="eastAsia" w:ascii="宋体" w:hAnsi="宋体" w:cs="宋体"/>
                <w:bCs/>
                <w:spacing w:val="-4"/>
                <w:szCs w:val="21"/>
              </w:rPr>
              <w:t>注：此公式N2单位为%；</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（3）当N2＝</w:t>
            </w:r>
            <w:r>
              <w:rPr>
                <w:rFonts w:hint="eastAsia" w:ascii="宋体" w:hAnsi="宋体" w:cs="宋体"/>
                <w:bCs/>
                <w:color w:val="auto"/>
                <w:spacing w:val="-4"/>
                <w:sz w:val="21"/>
                <w:szCs w:val="21"/>
              </w:rPr>
              <w:t>100%</w:t>
            </w:r>
            <w:r>
              <w:rPr>
                <w:rFonts w:ascii="宋体" w:hAnsi="宋体" w:cs="宋体"/>
                <w:bCs/>
                <w:color w:val="auto"/>
                <w:spacing w:val="-4"/>
                <w:sz w:val="21"/>
                <w:szCs w:val="21"/>
              </w:rPr>
              <w:t>时，本项得</w:t>
            </w:r>
            <w:r>
              <w:rPr>
                <w:rFonts w:hint="eastAsia" w:ascii="宋体" w:hAnsi="宋体" w:cs="宋体"/>
                <w:bCs/>
                <w:color w:val="auto"/>
                <w:spacing w:val="-4"/>
                <w:sz w:val="21"/>
                <w:szCs w:val="21"/>
              </w:rPr>
              <w:t>6分；</w:t>
            </w:r>
          </w:p>
          <w:p>
            <w:pPr>
              <w:pStyle w:val="2"/>
              <w:spacing w:line="240" w:lineRule="auto"/>
              <w:ind w:firstLine="0" w:firstLineChars="0"/>
              <w:rPr>
                <w:rFonts w:ascii="宋体" w:hAnsi="宋体" w:cs="宋体"/>
                <w:bCs/>
                <w:color w:val="auto"/>
                <w:spacing w:val="-4"/>
                <w:sz w:val="21"/>
                <w:szCs w:val="21"/>
              </w:rPr>
            </w:pPr>
            <w:r>
              <w:rPr>
                <w:rFonts w:hint="eastAsia" w:ascii="宋体" w:hAnsi="宋体"/>
                <w:color w:val="auto"/>
                <w:sz w:val="21"/>
                <w:szCs w:val="21"/>
              </w:rPr>
              <w:t>（4）当N1＜</w:t>
            </w:r>
            <w:r>
              <w:rPr>
                <w:rFonts w:hint="eastAsia" w:ascii="宋体" w:hAnsi="宋体" w:cs="宋体"/>
                <w:bCs/>
                <w:color w:val="auto"/>
                <w:spacing w:val="-4"/>
                <w:sz w:val="21"/>
                <w:szCs w:val="21"/>
              </w:rPr>
              <w:t>100%</w:t>
            </w:r>
            <w:r>
              <w:rPr>
                <w:rFonts w:ascii="宋体" w:hAnsi="宋体" w:cs="宋体"/>
                <w:bCs/>
                <w:color w:val="auto"/>
                <w:spacing w:val="-4"/>
                <w:sz w:val="21"/>
                <w:szCs w:val="21"/>
              </w:rPr>
              <w:t>时，本项得</w:t>
            </w:r>
            <w:r>
              <w:rPr>
                <w:rFonts w:hint="eastAsia" w:ascii="宋体" w:hAnsi="宋体" w:cs="宋体"/>
                <w:bCs/>
                <w:color w:val="auto"/>
                <w:spacing w:val="-4"/>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86" w:type="dxa"/>
            <w:vAlign w:val="center"/>
          </w:tcPr>
          <w:p>
            <w:pPr>
              <w:jc w:val="center"/>
              <w:rPr>
                <w:rFonts w:ascii="宋体" w:hAnsi="宋体" w:cs="宋体"/>
                <w:bCs/>
                <w:szCs w:val="21"/>
              </w:rPr>
            </w:pPr>
            <w:r>
              <w:rPr>
                <w:rFonts w:hint="eastAsia" w:ascii="宋体" w:hAnsi="宋体" w:cs="宋体"/>
                <w:bCs/>
                <w:szCs w:val="21"/>
              </w:rPr>
              <w:t>2.3.4（2）</w:t>
            </w:r>
          </w:p>
        </w:tc>
        <w:tc>
          <w:tcPr>
            <w:tcW w:w="3078" w:type="dxa"/>
            <w:gridSpan w:val="2"/>
            <w:vAlign w:val="center"/>
          </w:tcPr>
          <w:p>
            <w:pPr>
              <w:jc w:val="center"/>
              <w:rPr>
                <w:rFonts w:ascii="宋体" w:hAnsi="宋体" w:cs="宋体"/>
                <w:bCs/>
                <w:szCs w:val="21"/>
              </w:rPr>
            </w:pPr>
            <w:r>
              <w:rPr>
                <w:rFonts w:hint="eastAsia" w:ascii="宋体" w:hAnsi="宋体" w:cs="宋体"/>
                <w:bCs/>
                <w:szCs w:val="21"/>
              </w:rPr>
              <w:t>企业业绩评分标准</w:t>
            </w:r>
          </w:p>
          <w:p>
            <w:pPr>
              <w:jc w:val="center"/>
              <w:rPr>
                <w:rFonts w:ascii="宋体" w:hAnsi="宋体" w:cs="宋体"/>
                <w:bCs/>
                <w:szCs w:val="21"/>
              </w:rPr>
            </w:pPr>
            <w:r>
              <w:rPr>
                <w:rFonts w:hint="eastAsia" w:ascii="宋体" w:hAnsi="宋体" w:cs="宋体"/>
                <w:bCs/>
                <w:szCs w:val="21"/>
              </w:rPr>
              <w:t xml:space="preserve">（ </w:t>
            </w:r>
            <w:r>
              <w:rPr>
                <w:rFonts w:ascii="宋体" w:hAnsi="宋体" w:cs="宋体"/>
                <w:bCs/>
                <w:szCs w:val="21"/>
              </w:rPr>
              <w:t>15</w:t>
            </w:r>
            <w:r>
              <w:rPr>
                <w:rFonts w:hint="eastAsia" w:ascii="宋体" w:hAnsi="宋体" w:cs="宋体"/>
                <w:bCs/>
                <w:szCs w:val="21"/>
              </w:rPr>
              <w:t xml:space="preserve"> 分）</w:t>
            </w:r>
          </w:p>
        </w:tc>
        <w:tc>
          <w:tcPr>
            <w:tcW w:w="5377" w:type="dxa"/>
            <w:gridSpan w:val="2"/>
            <w:vAlign w:val="center"/>
          </w:tcPr>
          <w:p>
            <w:pPr>
              <w:jc w:val="left"/>
              <w:rPr>
                <w:rFonts w:ascii="宋体" w:hAnsi="宋体" w:cs="宋体"/>
                <w:bCs/>
                <w:szCs w:val="21"/>
              </w:rPr>
            </w:pPr>
            <w:r>
              <w:rPr>
                <w:rFonts w:hint="eastAsia" w:ascii="宋体" w:hAnsi="宋体" w:cs="宋体"/>
                <w:bCs/>
                <w:szCs w:val="21"/>
              </w:rPr>
              <w:t>未以联合体投标的满足资格审查最低要求得9分，每增加1项20亿元及以上的高速公路财产一切险保险的业绩，加3分，最多加至满分；</w:t>
            </w:r>
          </w:p>
          <w:p>
            <w:pPr>
              <w:jc w:val="left"/>
              <w:rPr>
                <w:rFonts w:ascii="宋体" w:hAnsi="宋体"/>
                <w:szCs w:val="21"/>
              </w:rPr>
            </w:pPr>
            <w:r>
              <w:rPr>
                <w:rFonts w:hint="eastAsia" w:ascii="宋体" w:hAnsi="宋体" w:cs="宋体"/>
                <w:bCs/>
                <w:szCs w:val="21"/>
              </w:rPr>
              <w:t>以联合体形式投标的满足资格审查最低要求得9分，联合体牵头人中每增加1项20亿元及以上的高速公路财产一切险保险的业绩，加3分，最多加至满分。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86" w:type="dxa"/>
            <w:vAlign w:val="center"/>
          </w:tcPr>
          <w:p>
            <w:pPr>
              <w:jc w:val="center"/>
              <w:rPr>
                <w:rFonts w:ascii="宋体" w:hAnsi="宋体" w:cs="宋体"/>
                <w:bCs/>
                <w:szCs w:val="21"/>
              </w:rPr>
            </w:pPr>
            <w:r>
              <w:rPr>
                <w:rFonts w:hint="eastAsia" w:ascii="宋体" w:hAnsi="宋体" w:cs="宋体"/>
                <w:bCs/>
                <w:szCs w:val="21"/>
              </w:rPr>
              <w:t>2.3.4（3）</w:t>
            </w:r>
          </w:p>
        </w:tc>
        <w:tc>
          <w:tcPr>
            <w:tcW w:w="3078" w:type="dxa"/>
            <w:gridSpan w:val="2"/>
            <w:vAlign w:val="center"/>
          </w:tcPr>
          <w:p>
            <w:pPr>
              <w:jc w:val="center"/>
              <w:rPr>
                <w:rFonts w:ascii="宋体" w:hAnsi="宋体" w:cs="宋体"/>
                <w:bCs/>
                <w:szCs w:val="21"/>
              </w:rPr>
            </w:pPr>
            <w:r>
              <w:rPr>
                <w:rFonts w:hint="eastAsia" w:ascii="宋体" w:hAnsi="宋体" w:cs="宋体"/>
                <w:bCs/>
                <w:szCs w:val="21"/>
              </w:rPr>
              <w:t>保险费率评分标准</w:t>
            </w:r>
          </w:p>
          <w:p>
            <w:pPr>
              <w:jc w:val="center"/>
              <w:rPr>
                <w:rFonts w:ascii="宋体" w:hAnsi="宋体" w:cs="宋体"/>
                <w:bCs/>
                <w:szCs w:val="21"/>
              </w:rPr>
            </w:pPr>
            <w:r>
              <w:rPr>
                <w:rFonts w:hint="eastAsia" w:ascii="宋体" w:hAnsi="宋体" w:cs="宋体"/>
                <w:bCs/>
                <w:szCs w:val="21"/>
              </w:rPr>
              <w:t>（30分）</w:t>
            </w:r>
          </w:p>
        </w:tc>
        <w:tc>
          <w:tcPr>
            <w:tcW w:w="5377" w:type="dxa"/>
            <w:gridSpan w:val="2"/>
          </w:tcPr>
          <w:p>
            <w:pPr>
              <w:ind w:firstLine="321" w:firstLineChars="153"/>
              <w:jc w:val="left"/>
              <w:rPr>
                <w:rFonts w:ascii="宋体" w:hAnsi="宋体" w:cs="宋体"/>
                <w:bCs/>
                <w:szCs w:val="21"/>
              </w:rPr>
            </w:pPr>
            <w:r>
              <w:rPr>
                <w:rFonts w:hint="eastAsia" w:ascii="宋体" w:hAnsi="宋体" w:cs="宋体"/>
                <w:bCs/>
                <w:szCs w:val="21"/>
              </w:rPr>
              <w:t>a.如果投标人的保险费率＞评标基准价，则评标价得分＝30－偏差率×100×E1；</w:t>
            </w:r>
          </w:p>
          <w:p>
            <w:pPr>
              <w:ind w:firstLine="321" w:firstLineChars="153"/>
              <w:jc w:val="left"/>
              <w:rPr>
                <w:rFonts w:ascii="宋体" w:hAnsi="宋体" w:cs="宋体"/>
                <w:bCs/>
                <w:szCs w:val="21"/>
              </w:rPr>
            </w:pPr>
            <w:r>
              <w:rPr>
                <w:rFonts w:hint="eastAsia" w:ascii="宋体" w:hAnsi="宋体" w:cs="宋体"/>
                <w:bCs/>
                <w:szCs w:val="21"/>
              </w:rPr>
              <w:t>b.如果投标人的保险费率≤评标基准价，则评标价得分＝30＋偏差率×100×E2；</w:t>
            </w:r>
          </w:p>
          <w:p>
            <w:pPr>
              <w:ind w:firstLine="321" w:firstLineChars="153"/>
              <w:jc w:val="left"/>
              <w:rPr>
                <w:rFonts w:ascii="宋体" w:hAnsi="宋体" w:cs="宋体"/>
                <w:bCs/>
                <w:szCs w:val="21"/>
              </w:rPr>
            </w:pPr>
            <w:r>
              <w:rPr>
                <w:rFonts w:hint="eastAsia" w:ascii="宋体" w:hAnsi="宋体" w:cs="宋体"/>
                <w:bCs/>
                <w:szCs w:val="21"/>
              </w:rPr>
              <w:t>其中，E1是保险费率每高于评标基准价一个百分点的扣分值，E1＝0.5；E2是保险费率每低于评标基准价一个百分点的扣分值，E2＝0.3。</w:t>
            </w:r>
          </w:p>
        </w:tc>
      </w:tr>
    </w:tbl>
    <w:p>
      <w:pPr>
        <w:pStyle w:val="21"/>
        <w:jc w:val="left"/>
        <w:outlineLvl w:val="0"/>
        <w:rPr>
          <w:rFonts w:ascii="宋体" w:hAnsi="宋体" w:eastAsia="宋体" w:cs="宋体"/>
          <w:b/>
          <w:bCs/>
          <w:sz w:val="24"/>
          <w:szCs w:val="24"/>
        </w:rPr>
      </w:pPr>
    </w:p>
    <w:p>
      <w:pPr>
        <w:adjustRightInd w:val="0"/>
        <w:spacing w:line="400" w:lineRule="exact"/>
        <w:jc w:val="left"/>
        <w:rPr>
          <w:rFonts w:ascii="宋体" w:hAnsi="宋体"/>
          <w:sz w:val="24"/>
        </w:rPr>
      </w:pPr>
      <w:r>
        <w:rPr>
          <w:rFonts w:hint="eastAsia" w:ascii="宋体" w:hAnsi="宋体"/>
          <w:sz w:val="24"/>
        </w:rPr>
        <w:t>注：1、评审因素得分应以评标委员会各成员的打分平均值确定；</w:t>
      </w:r>
    </w:p>
    <w:p>
      <w:pPr>
        <w:adjustRightInd w:val="0"/>
        <w:spacing w:line="400" w:lineRule="exact"/>
        <w:ind w:firstLine="480" w:firstLineChars="200"/>
        <w:jc w:val="left"/>
        <w:rPr>
          <w:rFonts w:ascii="宋体" w:hAnsi="宋体"/>
          <w:sz w:val="24"/>
        </w:rPr>
      </w:pPr>
      <w:r>
        <w:rPr>
          <w:rFonts w:hint="eastAsia" w:ascii="宋体" w:hAnsi="宋体"/>
          <w:sz w:val="24"/>
        </w:rPr>
        <w:t>2、服务方案各评分因素细分项的细分项缺项则该项得0分；</w:t>
      </w:r>
    </w:p>
    <w:p>
      <w:pPr>
        <w:adjustRightInd w:val="0"/>
        <w:spacing w:line="400" w:lineRule="exact"/>
        <w:ind w:firstLine="480" w:firstLineChars="200"/>
        <w:jc w:val="left"/>
        <w:rPr>
          <w:rFonts w:ascii="宋体" w:hAnsi="宋体"/>
          <w:sz w:val="24"/>
        </w:rPr>
      </w:pPr>
      <w:r>
        <w:rPr>
          <w:rFonts w:hint="eastAsia" w:ascii="宋体" w:hAnsi="宋体"/>
          <w:sz w:val="24"/>
        </w:rPr>
        <w:t>3、服务方案评分时保留1位小数，评标价得分计算时保留两位小数。</w:t>
      </w:r>
    </w:p>
    <w:bookmarkEnd w:id="0"/>
    <w:p>
      <w:pPr>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696661"/>
    <w:rsid w:val="001C4C44"/>
    <w:rsid w:val="00222955"/>
    <w:rsid w:val="00291D30"/>
    <w:rsid w:val="004A019E"/>
    <w:rsid w:val="00696661"/>
    <w:rsid w:val="6A0D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2"/>
    <w:qFormat/>
    <w:uiPriority w:val="0"/>
    <w:pPr>
      <w:keepNext/>
      <w:keepLines/>
      <w:spacing w:before="340" w:after="330" w:line="576" w:lineRule="auto"/>
      <w:outlineLvl w:val="0"/>
    </w:pPr>
    <w:rPr>
      <w:b/>
      <w:kern w:val="44"/>
      <w:sz w:val="44"/>
      <w:szCs w:val="20"/>
    </w:rPr>
  </w:style>
  <w:style w:type="paragraph" w:styleId="8">
    <w:name w:val="heading 3"/>
    <w:basedOn w:val="1"/>
    <w:next w:val="1"/>
    <w:link w:val="13"/>
    <w:qFormat/>
    <w:uiPriority w:val="99"/>
    <w:pPr>
      <w:keepNext/>
      <w:keepLines/>
      <w:spacing w:before="260" w:after="260" w:line="413" w:lineRule="auto"/>
      <w:outlineLvl w:val="2"/>
    </w:pPr>
    <w:rPr>
      <w:b/>
      <w:sz w:val="32"/>
      <w:szCs w:val="20"/>
    </w:rPr>
  </w:style>
  <w:style w:type="paragraph" w:styleId="9">
    <w:name w:val="heading 4"/>
    <w:basedOn w:val="1"/>
    <w:next w:val="1"/>
    <w:link w:val="14"/>
    <w:qFormat/>
    <w:uiPriority w:val="99"/>
    <w:pPr>
      <w:keepNext/>
      <w:keepLines/>
      <w:spacing w:line="360" w:lineRule="auto"/>
      <w:outlineLvl w:val="3"/>
    </w:pPr>
    <w:rPr>
      <w:rFonts w:ascii="Arial" w:hAnsi="Arial"/>
      <w:b/>
      <w:sz w:val="28"/>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16"/>
    <w:qFormat/>
    <w:uiPriority w:val="99"/>
    <w:pPr>
      <w:spacing w:after="0" w:line="360" w:lineRule="auto"/>
      <w:ind w:left="0" w:leftChars="0" w:firstLine="420" w:firstLineChars="200"/>
    </w:pPr>
    <w:rPr>
      <w:color w:val="000000"/>
      <w:kern w:val="0"/>
      <w:sz w:val="20"/>
    </w:rPr>
  </w:style>
  <w:style w:type="paragraph" w:styleId="3">
    <w:name w:val="Body Text Indent"/>
    <w:basedOn w:val="1"/>
    <w:link w:val="15"/>
    <w:semiHidden/>
    <w:unhideWhenUsed/>
    <w:qFormat/>
    <w:uiPriority w:val="99"/>
    <w:pPr>
      <w:spacing w:after="120"/>
      <w:ind w:left="420" w:leftChars="200"/>
    </w:pPr>
  </w:style>
  <w:style w:type="paragraph" w:styleId="4">
    <w:name w:val="List Continue"/>
    <w:basedOn w:val="1"/>
    <w:next w:val="5"/>
    <w:qFormat/>
    <w:uiPriority w:val="0"/>
    <w:pPr>
      <w:spacing w:after="120"/>
      <w:ind w:left="420" w:firstLine="3584"/>
    </w:pPr>
  </w:style>
  <w:style w:type="paragraph" w:styleId="5">
    <w:name w:val="Body Text First Indent"/>
    <w:basedOn w:val="6"/>
    <w:link w:val="25"/>
    <w:semiHidden/>
    <w:unhideWhenUsed/>
    <w:qFormat/>
    <w:uiPriority w:val="99"/>
    <w:pPr>
      <w:spacing w:after="120"/>
      <w:ind w:firstLine="420" w:firstLineChars="100"/>
    </w:pPr>
    <w:rPr>
      <w:rFonts w:ascii="Times New Roman" w:hAnsi="Times New Roman"/>
      <w:sz w:val="21"/>
    </w:rPr>
  </w:style>
  <w:style w:type="paragraph" w:styleId="6">
    <w:name w:val="Body Text"/>
    <w:basedOn w:val="1"/>
    <w:next w:val="1"/>
    <w:link w:val="17"/>
    <w:qFormat/>
    <w:uiPriority w:val="99"/>
    <w:rPr>
      <w:rFonts w:ascii="宋体" w:hAnsi="宋体"/>
      <w:sz w:val="24"/>
    </w:rPr>
  </w:style>
  <w:style w:type="character" w:customStyle="1" w:styleId="12">
    <w:name w:val="标题 1 字符"/>
    <w:basedOn w:val="11"/>
    <w:link w:val="7"/>
    <w:qFormat/>
    <w:uiPriority w:val="0"/>
    <w:rPr>
      <w:rFonts w:ascii="Times New Roman" w:hAnsi="Times New Roman" w:eastAsia="宋体" w:cs="Times New Roman"/>
      <w:b/>
      <w:kern w:val="44"/>
      <w:sz w:val="44"/>
      <w:szCs w:val="20"/>
    </w:rPr>
  </w:style>
  <w:style w:type="character" w:customStyle="1" w:styleId="13">
    <w:name w:val="标题 3 字符"/>
    <w:basedOn w:val="11"/>
    <w:link w:val="8"/>
    <w:qFormat/>
    <w:uiPriority w:val="99"/>
    <w:rPr>
      <w:rFonts w:ascii="Times New Roman" w:hAnsi="Times New Roman" w:eastAsia="宋体" w:cs="Times New Roman"/>
      <w:b/>
      <w:sz w:val="32"/>
      <w:szCs w:val="20"/>
    </w:rPr>
  </w:style>
  <w:style w:type="character" w:customStyle="1" w:styleId="14">
    <w:name w:val="标题 4 字符"/>
    <w:basedOn w:val="11"/>
    <w:link w:val="9"/>
    <w:qFormat/>
    <w:uiPriority w:val="99"/>
    <w:rPr>
      <w:rFonts w:ascii="Arial" w:hAnsi="Arial" w:eastAsia="宋体" w:cs="Times New Roman"/>
      <w:b/>
      <w:sz w:val="28"/>
      <w:szCs w:val="20"/>
    </w:rPr>
  </w:style>
  <w:style w:type="character" w:customStyle="1" w:styleId="15">
    <w:name w:val="正文文本缩进 字符"/>
    <w:basedOn w:val="11"/>
    <w:link w:val="3"/>
    <w:semiHidden/>
    <w:qFormat/>
    <w:uiPriority w:val="99"/>
    <w:rPr>
      <w:rFonts w:ascii="Times New Roman" w:hAnsi="Times New Roman" w:eastAsia="宋体" w:cs="Times New Roman"/>
      <w:szCs w:val="24"/>
    </w:rPr>
  </w:style>
  <w:style w:type="character" w:customStyle="1" w:styleId="16">
    <w:name w:val="正文文本首行缩进 2 字符"/>
    <w:basedOn w:val="15"/>
    <w:link w:val="2"/>
    <w:qFormat/>
    <w:uiPriority w:val="99"/>
    <w:rPr>
      <w:rFonts w:ascii="Times New Roman" w:hAnsi="Times New Roman" w:eastAsia="宋体" w:cs="Times New Roman"/>
      <w:color w:val="000000"/>
      <w:kern w:val="0"/>
      <w:sz w:val="20"/>
      <w:szCs w:val="24"/>
    </w:rPr>
  </w:style>
  <w:style w:type="character" w:customStyle="1" w:styleId="17">
    <w:name w:val="正文文本 字符"/>
    <w:basedOn w:val="11"/>
    <w:link w:val="6"/>
    <w:qFormat/>
    <w:uiPriority w:val="99"/>
    <w:rPr>
      <w:rFonts w:ascii="宋体" w:hAnsi="宋体" w:eastAsia="宋体" w:cs="Times New Roman"/>
      <w:sz w:val="24"/>
      <w:szCs w:val="24"/>
    </w:rPr>
  </w:style>
  <w:style w:type="character" w:customStyle="1" w:styleId="18">
    <w:name w:val="目录4 Char Char"/>
    <w:qFormat/>
    <w:uiPriority w:val="99"/>
    <w:rPr>
      <w:rFonts w:ascii="黑体" w:eastAsia="黑体"/>
      <w:kern w:val="2"/>
      <w:sz w:val="24"/>
      <w:lang w:val="en-US" w:eastAsia="zh-CN"/>
    </w:rPr>
  </w:style>
  <w:style w:type="character" w:customStyle="1" w:styleId="19">
    <w:name w:val="目录4 Char"/>
    <w:qFormat/>
    <w:uiPriority w:val="99"/>
    <w:rPr>
      <w:rFonts w:ascii="黑体" w:eastAsia="黑体"/>
      <w:kern w:val="2"/>
      <w:sz w:val="24"/>
      <w:lang w:val="en-US" w:eastAsia="zh-CN"/>
    </w:rPr>
  </w:style>
  <w:style w:type="paragraph" w:customStyle="1" w:styleId="20">
    <w:name w:val="样式 首行缩进:  1 厘米 行距: 固定值 25 磅"/>
    <w:basedOn w:val="1"/>
    <w:qFormat/>
    <w:uiPriority w:val="99"/>
    <w:pPr>
      <w:adjustRightInd w:val="0"/>
      <w:spacing w:line="420" w:lineRule="exact"/>
      <w:ind w:firstLine="480" w:firstLineChars="200"/>
      <w:textAlignment w:val="baseline"/>
    </w:pPr>
    <w:rPr>
      <w:rFonts w:ascii="宋体" w:hAnsi="宋体" w:cs="宋体"/>
      <w:kern w:val="0"/>
      <w:sz w:val="24"/>
    </w:rPr>
  </w:style>
  <w:style w:type="paragraph" w:customStyle="1" w:styleId="21">
    <w:name w:val="目录1"/>
    <w:basedOn w:val="1"/>
    <w:qFormat/>
    <w:uiPriority w:val="99"/>
    <w:rPr>
      <w:rFonts w:ascii="黑体" w:eastAsia="黑体"/>
      <w:sz w:val="52"/>
      <w:szCs w:val="52"/>
    </w:rPr>
  </w:style>
  <w:style w:type="paragraph" w:customStyle="1" w:styleId="22">
    <w:name w:val="目录3"/>
    <w:basedOn w:val="1"/>
    <w:qFormat/>
    <w:uiPriority w:val="99"/>
    <w:pPr>
      <w:spacing w:beforeLines="50" w:afterLines="50" w:line="400" w:lineRule="exact"/>
    </w:pPr>
    <w:rPr>
      <w:rFonts w:ascii="黑体" w:eastAsia="黑体"/>
      <w:sz w:val="24"/>
    </w:rPr>
  </w:style>
  <w:style w:type="paragraph" w:customStyle="1" w:styleId="23">
    <w:name w:val="列表段落1"/>
    <w:basedOn w:val="1"/>
    <w:qFormat/>
    <w:uiPriority w:val="99"/>
    <w:pPr>
      <w:ind w:firstLine="420" w:firstLineChars="200"/>
    </w:pPr>
    <w:rPr>
      <w:rFonts w:ascii="Calibri" w:hAnsi="Calibri"/>
      <w:szCs w:val="22"/>
    </w:rPr>
  </w:style>
  <w:style w:type="paragraph" w:styleId="24">
    <w:name w:val="No Spacing"/>
    <w:qFormat/>
    <w:uiPriority w:val="0"/>
    <w:pPr>
      <w:widowControl w:val="0"/>
      <w:jc w:val="both"/>
    </w:pPr>
    <w:rPr>
      <w:rFonts w:ascii="宋体" w:hAnsi="宋体" w:eastAsia="宋体" w:cs="Times New Roman"/>
      <w:kern w:val="2"/>
      <w:sz w:val="24"/>
      <w:szCs w:val="24"/>
      <w:lang w:val="en-US" w:eastAsia="zh-CN" w:bidi="ar-SA"/>
    </w:rPr>
  </w:style>
  <w:style w:type="character" w:customStyle="1" w:styleId="25">
    <w:name w:val="正文文本首行缩进 字符"/>
    <w:basedOn w:val="17"/>
    <w:link w:val="5"/>
    <w:semiHidden/>
    <w:qFormat/>
    <w:uiPriority w:val="99"/>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5333</Words>
  <Characters>5854</Characters>
  <Lines>44</Lines>
  <Paragraphs>12</Paragraphs>
  <TotalTime>3</TotalTime>
  <ScaleCrop>false</ScaleCrop>
  <LinksUpToDate>false</LinksUpToDate>
  <CharactersWithSpaces>5961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2023-04-27T06:23:00Z</dcterms:created>
  <dc:creator>Su Zixuan</dc:creator>
  <cp:lastModifiedBy>李</cp:lastModifiedBy>
  <dcterms:modified xsi:type="dcterms:W3CDTF">2023-04-28T01:13:00Z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698DC361783047889A1A3CBA9D654989_12</vt:lpwstr>
  </property>
</Properties>
</file>