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line="276" w:lineRule="auto"/>
        <w:outlineLvl w:val="2"/>
        <w:rPr>
          <w:rFonts w:hint="eastAsia" w:ascii="宋体" w:hAnsi="宋体"/>
          <w:b/>
          <w:sz w:val="24"/>
          <w:highlight w:val="none"/>
        </w:rPr>
      </w:pPr>
      <w:bookmarkStart w:id="0" w:name="_Toc514238201"/>
      <w:bookmarkStart w:id="1" w:name="_Hlk517255404"/>
      <w:bookmarkStart w:id="31" w:name="_GoBack"/>
      <w:bookmarkEnd w:id="31"/>
      <w:r>
        <w:rPr>
          <w:rFonts w:hint="eastAsia" w:ascii="宋体" w:hAnsi="宋体"/>
          <w:b/>
          <w:sz w:val="24"/>
          <w:highlight w:val="none"/>
        </w:rPr>
        <w:t>附件</w:t>
      </w:r>
      <w:r>
        <w:rPr>
          <w:rFonts w:ascii="宋体" w:hAnsi="宋体"/>
          <w:b/>
          <w:sz w:val="24"/>
          <w:highlight w:val="none"/>
        </w:rPr>
        <w:t>1</w:t>
      </w:r>
      <w:r>
        <w:rPr>
          <w:rFonts w:hint="eastAsia" w:ascii="宋体" w:hAnsi="宋体"/>
          <w:b/>
          <w:sz w:val="24"/>
          <w:highlight w:val="none"/>
        </w:rPr>
        <w:t>：资格审查条件</w:t>
      </w:r>
      <w:bookmarkEnd w:id="0"/>
    </w:p>
    <w:p>
      <w:pPr>
        <w:adjustRightInd w:val="0"/>
        <w:spacing w:line="400" w:lineRule="exact"/>
        <w:jc w:val="center"/>
        <w:rPr>
          <w:rFonts w:hint="eastAsia" w:ascii="宋体" w:hAnsi="宋体"/>
          <w:b/>
          <w:sz w:val="24"/>
          <w:szCs w:val="24"/>
          <w:highlight w:val="none"/>
        </w:rPr>
      </w:pPr>
    </w:p>
    <w:p>
      <w:pPr>
        <w:adjustRightInd w:val="0"/>
        <w:spacing w:line="400" w:lineRule="exact"/>
        <w:jc w:val="center"/>
        <w:rPr>
          <w:rFonts w:ascii="宋体" w:hAnsi="宋体"/>
          <w:b/>
          <w:sz w:val="24"/>
          <w:szCs w:val="24"/>
          <w:highlight w:val="none"/>
        </w:rPr>
      </w:pPr>
      <w:r>
        <w:rPr>
          <w:rFonts w:hint="eastAsia" w:ascii="宋体" w:hAnsi="宋体"/>
          <w:b/>
          <w:sz w:val="24"/>
          <w:szCs w:val="24"/>
          <w:highlight w:val="none"/>
        </w:rPr>
        <w:t xml:space="preserve">附录1 </w:t>
      </w:r>
      <w:bookmarkStart w:id="2" w:name="_Hlk515531673"/>
      <w:r>
        <w:rPr>
          <w:rFonts w:hint="eastAsia" w:ascii="宋体" w:hAnsi="宋体"/>
          <w:b/>
          <w:sz w:val="24"/>
          <w:highlight w:val="none"/>
        </w:rPr>
        <w:t>资格</w:t>
      </w:r>
      <w:r>
        <w:rPr>
          <w:rFonts w:hint="eastAsia" w:ascii="宋体" w:hAnsi="宋体"/>
          <w:b/>
          <w:sz w:val="24"/>
          <w:szCs w:val="24"/>
          <w:highlight w:val="none"/>
        </w:rPr>
        <w:t>审查条件（</w:t>
      </w:r>
      <w:bookmarkStart w:id="3" w:name="_Hlk93741047"/>
      <w:r>
        <w:rPr>
          <w:rFonts w:hint="eastAsia" w:ascii="宋体" w:hAnsi="宋体"/>
          <w:b/>
          <w:sz w:val="24"/>
          <w:szCs w:val="24"/>
          <w:highlight w:val="none"/>
        </w:rPr>
        <w:t>资质最低要求</w:t>
      </w:r>
      <w:bookmarkEnd w:id="3"/>
      <w:r>
        <w:rPr>
          <w:rFonts w:hint="eastAsia" w:ascii="宋体" w:hAnsi="宋体"/>
          <w:b/>
          <w:sz w:val="24"/>
          <w:szCs w:val="24"/>
          <w:highlight w:val="none"/>
        </w:rPr>
        <w:t>）</w:t>
      </w:r>
      <w:bookmarkEnd w:id="2"/>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6"/>
              <w:spacing w:before="0" w:beforeAutospacing="0" w:after="0" w:afterAutospacing="0" w:line="360" w:lineRule="auto"/>
              <w:ind w:firstLine="0"/>
              <w:contextualSpacing/>
              <w:jc w:val="center"/>
              <w:rPr>
                <w:sz w:val="21"/>
                <w:szCs w:val="21"/>
                <w:highlight w:val="none"/>
              </w:rPr>
            </w:pPr>
            <w:r>
              <w:rPr>
                <w:rFonts w:hint="eastAsia"/>
                <w:sz w:val="21"/>
                <w:szCs w:val="21"/>
                <w:highlight w:val="none"/>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9286" w:type="dxa"/>
            <w:noWrap w:val="0"/>
            <w:vAlign w:val="center"/>
          </w:tcPr>
          <w:p>
            <w:pPr>
              <w:ind w:firstLine="315" w:firstLineChars="150"/>
              <w:jc w:val="left"/>
              <w:rPr>
                <w:rFonts w:hint="eastAsia" w:ascii="宋体" w:hAnsi="宋体" w:eastAsia="宋体"/>
                <w:sz w:val="21"/>
                <w:szCs w:val="21"/>
                <w:highlight w:val="none"/>
                <w:lang w:val="en-US" w:eastAsia="zh-CN"/>
              </w:rPr>
            </w:pPr>
            <w:bookmarkStart w:id="4" w:name="_Hlk98251404"/>
            <w:r>
              <w:rPr>
                <w:rFonts w:hint="eastAsia"/>
                <w:sz w:val="21"/>
                <w:szCs w:val="21"/>
                <w:highlight w:val="none"/>
              </w:rPr>
              <w:t>具有独立法人资格，</w:t>
            </w:r>
            <w:r>
              <w:rPr>
                <w:rFonts w:hint="eastAsia"/>
                <w:sz w:val="21"/>
                <w:szCs w:val="21"/>
                <w:highlight w:val="none"/>
                <w:lang w:val="en-US" w:eastAsia="zh-CN"/>
              </w:rPr>
              <w:t>持</w:t>
            </w:r>
            <w:r>
              <w:rPr>
                <w:rFonts w:hint="eastAsia"/>
                <w:sz w:val="21"/>
                <w:szCs w:val="21"/>
                <w:highlight w:val="none"/>
              </w:rPr>
              <w:t>有有效的企业营业执照。</w:t>
            </w:r>
            <w:bookmarkEnd w:id="4"/>
          </w:p>
        </w:tc>
      </w:tr>
    </w:tbl>
    <w:p>
      <w:pPr>
        <w:adjustRightInd w:val="0"/>
        <w:spacing w:line="400" w:lineRule="exact"/>
        <w:jc w:val="center"/>
        <w:rPr>
          <w:rFonts w:ascii="宋体" w:hAnsi="宋体"/>
          <w:b/>
          <w:sz w:val="24"/>
          <w:szCs w:val="24"/>
          <w:highlight w:val="none"/>
        </w:rPr>
      </w:pPr>
    </w:p>
    <w:p>
      <w:pPr>
        <w:adjustRightInd w:val="0"/>
        <w:spacing w:line="400" w:lineRule="exact"/>
        <w:jc w:val="center"/>
        <w:rPr>
          <w:rFonts w:ascii="宋体" w:hAnsi="宋体"/>
          <w:b/>
          <w:sz w:val="24"/>
          <w:szCs w:val="24"/>
          <w:highlight w:val="none"/>
        </w:rPr>
      </w:pPr>
      <w:r>
        <w:rPr>
          <w:rFonts w:hint="eastAsia" w:ascii="宋体" w:hAnsi="宋体"/>
          <w:b/>
          <w:sz w:val="24"/>
          <w:szCs w:val="24"/>
          <w:highlight w:val="none"/>
        </w:rPr>
        <w:t>附录2 资格审查条件（</w:t>
      </w:r>
      <w:bookmarkStart w:id="5" w:name="_Hlk93740530"/>
      <w:r>
        <w:rPr>
          <w:rFonts w:hint="eastAsia" w:ascii="宋体" w:hAnsi="宋体"/>
          <w:b/>
          <w:sz w:val="24"/>
          <w:szCs w:val="24"/>
          <w:highlight w:val="none"/>
        </w:rPr>
        <w:t>业绩最低要求</w:t>
      </w:r>
      <w:bookmarkEnd w:id="5"/>
      <w:r>
        <w:rPr>
          <w:rFonts w:hint="eastAsia" w:ascii="宋体" w:hAnsi="宋体"/>
          <w:b/>
          <w:sz w:val="24"/>
          <w:szCs w:val="24"/>
          <w:highlight w:val="none"/>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pPr>
              <w:pStyle w:val="6"/>
              <w:spacing w:before="0" w:beforeAutospacing="0" w:after="0" w:afterAutospacing="0" w:line="360" w:lineRule="auto"/>
              <w:ind w:firstLine="0"/>
              <w:contextualSpacing/>
              <w:jc w:val="center"/>
              <w:rPr>
                <w:sz w:val="21"/>
                <w:szCs w:val="21"/>
                <w:highlight w:val="none"/>
              </w:rPr>
            </w:pPr>
            <w:r>
              <w:rPr>
                <w:rFonts w:hint="eastAsia"/>
                <w:sz w:val="21"/>
                <w:szCs w:val="21"/>
                <w:highlight w:val="none"/>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9286" w:type="dxa"/>
            <w:noWrap w:val="0"/>
            <w:vAlign w:val="center"/>
          </w:tcPr>
          <w:p>
            <w:pPr>
              <w:ind w:firstLine="315" w:firstLineChars="150"/>
              <w:jc w:val="left"/>
              <w:rPr>
                <w:rFonts w:hint="eastAsia" w:ascii="宋体" w:hAnsi="宋体"/>
                <w:kern w:val="0"/>
                <w:sz w:val="21"/>
                <w:szCs w:val="21"/>
                <w:highlight w:val="none"/>
              </w:rPr>
            </w:pPr>
            <w:r>
              <w:rPr>
                <w:rFonts w:hint="eastAsia" w:ascii="宋体" w:hAnsi="宋体"/>
                <w:kern w:val="0"/>
                <w:sz w:val="21"/>
                <w:szCs w:val="21"/>
                <w:highlight w:val="none"/>
              </w:rPr>
              <w:t>近3年内(20</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3月</w:t>
            </w:r>
            <w:r>
              <w:rPr>
                <w:rFonts w:hint="eastAsia" w:ascii="宋体" w:hAnsi="宋体"/>
                <w:kern w:val="0"/>
                <w:sz w:val="21"/>
                <w:szCs w:val="21"/>
                <w:highlight w:val="none"/>
                <w:lang w:eastAsia="zh-CN"/>
              </w:rPr>
              <w:t>1日</w:t>
            </w:r>
            <w:r>
              <w:rPr>
                <w:rFonts w:hint="eastAsia" w:ascii="宋体" w:hAnsi="宋体"/>
                <w:kern w:val="0"/>
                <w:sz w:val="21"/>
                <w:szCs w:val="21"/>
                <w:highlight w:val="none"/>
              </w:rPr>
              <w:t>至今，以合同签订时间为准）</w:t>
            </w:r>
            <w:r>
              <w:rPr>
                <w:rFonts w:hint="eastAsia" w:ascii="宋体" w:hAnsi="宋体"/>
                <w:kern w:val="0"/>
                <w:sz w:val="21"/>
                <w:szCs w:val="21"/>
                <w:highlight w:val="none"/>
                <w:lang w:eastAsia="zh-CN"/>
              </w:rPr>
              <w:t>，</w:t>
            </w:r>
            <w:r>
              <w:rPr>
                <w:rFonts w:hint="eastAsia" w:ascii="宋体" w:hAnsi="宋体"/>
                <w:kern w:val="0"/>
                <w:sz w:val="21"/>
                <w:szCs w:val="21"/>
                <w:highlight w:val="none"/>
              </w:rPr>
              <w:t>至少独立承担过1项</w:t>
            </w:r>
            <w:r>
              <w:rPr>
                <w:rFonts w:hint="eastAsia" w:ascii="宋体" w:hAnsi="宋体"/>
                <w:kern w:val="0"/>
                <w:sz w:val="21"/>
                <w:szCs w:val="21"/>
                <w:highlight w:val="none"/>
                <w:lang w:val="en-US" w:eastAsia="zh-CN"/>
              </w:rPr>
              <w:t>软件产品的</w:t>
            </w:r>
            <w:r>
              <w:rPr>
                <w:rFonts w:hint="eastAsia" w:ascii="宋体" w:hAnsi="宋体"/>
                <w:kern w:val="0"/>
                <w:sz w:val="21"/>
                <w:szCs w:val="21"/>
                <w:highlight w:val="none"/>
                <w:lang w:eastAsia="zh-CN"/>
              </w:rPr>
              <w:t>软件测试</w:t>
            </w:r>
            <w:r>
              <w:rPr>
                <w:rFonts w:hint="eastAsia" w:ascii="宋体" w:hAnsi="宋体"/>
                <w:kern w:val="0"/>
                <w:sz w:val="21"/>
                <w:szCs w:val="21"/>
                <w:highlight w:val="none"/>
                <w:lang w:val="en-US" w:eastAsia="zh-CN"/>
              </w:rPr>
              <w:t>业绩</w:t>
            </w:r>
            <w:r>
              <w:rPr>
                <w:rFonts w:hint="eastAsia" w:ascii="宋体" w:hAnsi="宋体"/>
                <w:kern w:val="0"/>
                <w:sz w:val="21"/>
                <w:szCs w:val="21"/>
                <w:highlight w:val="none"/>
              </w:rPr>
              <w:t>。</w:t>
            </w:r>
          </w:p>
        </w:tc>
      </w:tr>
    </w:tbl>
    <w:p>
      <w:pPr>
        <w:adjustRightInd w:val="0"/>
        <w:spacing w:line="400" w:lineRule="exact"/>
        <w:jc w:val="center"/>
        <w:rPr>
          <w:rFonts w:ascii="宋体" w:hAnsi="宋体"/>
          <w:b/>
          <w:sz w:val="24"/>
          <w:szCs w:val="24"/>
          <w:highlight w:val="none"/>
        </w:rPr>
      </w:pPr>
    </w:p>
    <w:p>
      <w:pPr>
        <w:adjustRightInd w:val="0"/>
        <w:spacing w:line="400" w:lineRule="exact"/>
        <w:jc w:val="center"/>
        <w:rPr>
          <w:rFonts w:ascii="宋体" w:hAnsi="宋体"/>
          <w:b/>
          <w:sz w:val="24"/>
          <w:szCs w:val="24"/>
          <w:highlight w:val="none"/>
        </w:rPr>
      </w:pPr>
      <w:r>
        <w:rPr>
          <w:rFonts w:hint="eastAsia" w:ascii="宋体" w:hAnsi="宋体"/>
          <w:b/>
          <w:sz w:val="24"/>
          <w:szCs w:val="24"/>
          <w:highlight w:val="none"/>
        </w:rPr>
        <w:t>附录3 资格审查条件（</w:t>
      </w:r>
      <w:bookmarkStart w:id="6" w:name="_Hlk93740552"/>
      <w:r>
        <w:rPr>
          <w:rFonts w:hint="eastAsia" w:ascii="宋体" w:hAnsi="宋体"/>
          <w:b/>
          <w:sz w:val="24"/>
          <w:szCs w:val="24"/>
          <w:highlight w:val="none"/>
        </w:rPr>
        <w:t>信誉最低要求</w:t>
      </w:r>
      <w:bookmarkEnd w:id="6"/>
      <w:r>
        <w:rPr>
          <w:rFonts w:hint="eastAsia" w:ascii="宋体" w:hAnsi="宋体"/>
          <w:b/>
          <w:sz w:val="24"/>
          <w:szCs w:val="24"/>
          <w:highlight w:val="none"/>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6"/>
              <w:spacing w:before="0" w:beforeAutospacing="0" w:after="0" w:afterAutospacing="0" w:line="360" w:lineRule="auto"/>
              <w:ind w:firstLine="0"/>
              <w:contextualSpacing/>
              <w:jc w:val="center"/>
              <w:rPr>
                <w:sz w:val="21"/>
                <w:szCs w:val="21"/>
                <w:highlight w:val="none"/>
              </w:rPr>
            </w:pPr>
            <w:r>
              <w:rPr>
                <w:rFonts w:hint="eastAsia"/>
                <w:sz w:val="21"/>
                <w:szCs w:val="21"/>
                <w:highlight w:val="none"/>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9286" w:type="dxa"/>
            <w:noWrap w:val="0"/>
            <w:vAlign w:val="center"/>
          </w:tcPr>
          <w:p>
            <w:pPr>
              <w:ind w:firstLine="420" w:firstLineChars="200"/>
              <w:rPr>
                <w:rFonts w:ascii="宋体" w:hAnsi="宋体"/>
                <w:sz w:val="21"/>
                <w:szCs w:val="21"/>
                <w:highlight w:val="none"/>
              </w:rPr>
            </w:pPr>
            <w:r>
              <w:rPr>
                <w:rFonts w:hint="eastAsia" w:ascii="宋体" w:hAnsi="宋体"/>
                <w:sz w:val="21"/>
                <w:szCs w:val="21"/>
                <w:highlight w:val="none"/>
              </w:rPr>
              <w:t>投标人过去1年（202</w:t>
            </w:r>
            <w:r>
              <w:rPr>
                <w:rFonts w:hint="eastAsia" w:ascii="宋体" w:hAnsi="宋体"/>
                <w:sz w:val="21"/>
                <w:szCs w:val="21"/>
                <w:highlight w:val="none"/>
                <w:lang w:val="en-US" w:eastAsia="zh-CN"/>
              </w:rPr>
              <w:t>2</w:t>
            </w:r>
            <w:r>
              <w:rPr>
                <w:rFonts w:hint="eastAsia" w:ascii="宋体" w:hAnsi="宋体"/>
                <w:sz w:val="21"/>
                <w:szCs w:val="21"/>
                <w:highlight w:val="none"/>
              </w:rPr>
              <w:t>年</w:t>
            </w:r>
            <w:r>
              <w:rPr>
                <w:rFonts w:hint="eastAsia" w:ascii="宋体" w:hAnsi="宋体"/>
                <w:sz w:val="21"/>
                <w:szCs w:val="21"/>
                <w:highlight w:val="none"/>
                <w:lang w:val="en-US" w:eastAsia="zh-CN"/>
              </w:rPr>
              <w:t>3月</w:t>
            </w:r>
            <w:r>
              <w:rPr>
                <w:rFonts w:hint="eastAsia" w:ascii="宋体" w:hAnsi="宋体"/>
                <w:sz w:val="21"/>
                <w:szCs w:val="21"/>
                <w:highlight w:val="none"/>
                <w:lang w:eastAsia="zh-CN"/>
              </w:rPr>
              <w:t>1日</w:t>
            </w:r>
            <w:r>
              <w:rPr>
                <w:rFonts w:hint="eastAsia" w:ascii="宋体" w:hAnsi="宋体"/>
                <w:sz w:val="21"/>
                <w:szCs w:val="21"/>
                <w:highlight w:val="none"/>
              </w:rPr>
              <w:t>至今）中不曾在</w:t>
            </w:r>
            <w:r>
              <w:rPr>
                <w:rFonts w:hint="eastAsia" w:ascii="宋体" w:hAnsi="宋体"/>
                <w:kern w:val="0"/>
                <w:sz w:val="21"/>
                <w:szCs w:val="21"/>
                <w:highlight w:val="none"/>
                <w:lang w:eastAsia="zh-CN"/>
              </w:rPr>
              <w:t>软件测试</w:t>
            </w:r>
            <w:r>
              <w:rPr>
                <w:rFonts w:hint="eastAsia" w:ascii="宋体" w:hAnsi="宋体"/>
                <w:sz w:val="21"/>
                <w:szCs w:val="21"/>
                <w:highlight w:val="none"/>
              </w:rPr>
              <w:t>合同中违约而被驱逐或因投标人自身的原因而使</w:t>
            </w:r>
            <w:r>
              <w:rPr>
                <w:rFonts w:hint="eastAsia" w:ascii="宋体" w:hAnsi="宋体"/>
                <w:kern w:val="0"/>
                <w:sz w:val="21"/>
                <w:szCs w:val="21"/>
                <w:highlight w:val="none"/>
                <w:lang w:eastAsia="zh-CN"/>
              </w:rPr>
              <w:t>软件测试</w:t>
            </w:r>
            <w:r>
              <w:rPr>
                <w:rFonts w:hint="eastAsia" w:ascii="宋体" w:hAnsi="宋体"/>
                <w:sz w:val="21"/>
                <w:szCs w:val="21"/>
                <w:highlight w:val="none"/>
              </w:rPr>
              <w:t>合同被解除。</w:t>
            </w:r>
          </w:p>
        </w:tc>
      </w:tr>
    </w:tbl>
    <w:p>
      <w:pPr>
        <w:adjustRightInd w:val="0"/>
        <w:spacing w:line="400" w:lineRule="exact"/>
        <w:jc w:val="center"/>
        <w:rPr>
          <w:rFonts w:ascii="宋体" w:hAnsi="宋体"/>
          <w:b/>
          <w:sz w:val="24"/>
          <w:szCs w:val="24"/>
          <w:highlight w:val="none"/>
        </w:rPr>
      </w:pPr>
    </w:p>
    <w:p>
      <w:pPr>
        <w:adjustRightInd w:val="0"/>
        <w:spacing w:line="400" w:lineRule="exact"/>
        <w:jc w:val="center"/>
        <w:rPr>
          <w:rFonts w:ascii="宋体" w:hAnsi="宋体"/>
          <w:b/>
          <w:sz w:val="24"/>
          <w:szCs w:val="24"/>
          <w:highlight w:val="none"/>
        </w:rPr>
      </w:pPr>
      <w:r>
        <w:rPr>
          <w:rFonts w:hint="eastAsia" w:ascii="宋体" w:hAnsi="宋体"/>
          <w:b/>
          <w:sz w:val="24"/>
          <w:szCs w:val="24"/>
          <w:highlight w:val="none"/>
        </w:rPr>
        <w:t xml:space="preserve">附录4 </w:t>
      </w:r>
      <w:bookmarkStart w:id="7" w:name="_Hlk515531639"/>
      <w:r>
        <w:rPr>
          <w:rFonts w:hint="eastAsia" w:ascii="宋体" w:hAnsi="宋体"/>
          <w:b/>
          <w:sz w:val="24"/>
          <w:szCs w:val="24"/>
          <w:highlight w:val="none"/>
        </w:rPr>
        <w:t>资格审查条件（</w:t>
      </w:r>
      <w:bookmarkStart w:id="8" w:name="_Hlk93740569"/>
      <w:r>
        <w:rPr>
          <w:rFonts w:hint="eastAsia" w:ascii="宋体" w:hAnsi="宋体"/>
          <w:b/>
          <w:sz w:val="24"/>
          <w:szCs w:val="24"/>
          <w:highlight w:val="none"/>
          <w:lang w:val="en-US" w:eastAsia="zh-CN"/>
        </w:rPr>
        <w:t>主要人员</w:t>
      </w:r>
      <w:r>
        <w:rPr>
          <w:rFonts w:hint="eastAsia" w:ascii="宋体" w:hAnsi="宋体"/>
          <w:b/>
          <w:sz w:val="24"/>
          <w:szCs w:val="24"/>
          <w:highlight w:val="none"/>
        </w:rPr>
        <w:t>最低要求</w:t>
      </w:r>
      <w:bookmarkEnd w:id="8"/>
      <w:r>
        <w:rPr>
          <w:rFonts w:hint="eastAsia" w:ascii="宋体" w:hAnsi="宋体"/>
          <w:b/>
          <w:sz w:val="24"/>
          <w:szCs w:val="24"/>
          <w:highlight w:val="none"/>
        </w:rPr>
        <w:t>）</w:t>
      </w:r>
      <w:bookmarkEnd w:id="7"/>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9"/>
        <w:gridCol w:w="6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noWrap w:val="0"/>
            <w:vAlign w:val="center"/>
          </w:tcPr>
          <w:p>
            <w:pPr>
              <w:pStyle w:val="6"/>
              <w:spacing w:before="0" w:beforeAutospacing="0" w:after="0" w:afterAutospacing="0" w:line="360" w:lineRule="auto"/>
              <w:ind w:firstLine="0"/>
              <w:contextualSpacing/>
              <w:jc w:val="center"/>
              <w:rPr>
                <w:sz w:val="21"/>
                <w:szCs w:val="21"/>
                <w:highlight w:val="none"/>
              </w:rPr>
            </w:pPr>
            <w:r>
              <w:rPr>
                <w:rFonts w:hint="eastAsia"/>
                <w:sz w:val="21"/>
                <w:szCs w:val="21"/>
                <w:highlight w:val="none"/>
              </w:rPr>
              <w:t>人   员</w:t>
            </w:r>
          </w:p>
        </w:tc>
        <w:tc>
          <w:tcPr>
            <w:tcW w:w="999" w:type="dxa"/>
            <w:noWrap w:val="0"/>
            <w:vAlign w:val="center"/>
          </w:tcPr>
          <w:p>
            <w:pPr>
              <w:pStyle w:val="6"/>
              <w:spacing w:before="0" w:beforeAutospacing="0" w:after="0" w:afterAutospacing="0" w:line="360" w:lineRule="auto"/>
              <w:ind w:firstLine="0"/>
              <w:contextualSpacing/>
              <w:jc w:val="center"/>
              <w:rPr>
                <w:sz w:val="21"/>
                <w:szCs w:val="21"/>
                <w:highlight w:val="none"/>
              </w:rPr>
            </w:pPr>
            <w:r>
              <w:rPr>
                <w:rFonts w:hint="eastAsia"/>
                <w:sz w:val="21"/>
                <w:szCs w:val="21"/>
                <w:highlight w:val="none"/>
              </w:rPr>
              <w:t>数量</w:t>
            </w:r>
          </w:p>
        </w:tc>
        <w:tc>
          <w:tcPr>
            <w:tcW w:w="6619" w:type="dxa"/>
            <w:noWrap w:val="0"/>
            <w:vAlign w:val="center"/>
          </w:tcPr>
          <w:p>
            <w:pPr>
              <w:pStyle w:val="6"/>
              <w:spacing w:before="0" w:beforeAutospacing="0" w:after="0" w:afterAutospacing="0" w:line="360" w:lineRule="auto"/>
              <w:ind w:firstLine="0"/>
              <w:contextualSpacing/>
              <w:jc w:val="center"/>
              <w:rPr>
                <w:sz w:val="21"/>
                <w:szCs w:val="21"/>
                <w:highlight w:val="none"/>
              </w:rPr>
            </w:pPr>
            <w:r>
              <w:rPr>
                <w:rFonts w:hint="eastAsia"/>
                <w:sz w:val="21"/>
                <w:szCs w:val="21"/>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1668" w:type="dxa"/>
            <w:noWrap w:val="0"/>
            <w:vAlign w:val="center"/>
          </w:tcPr>
          <w:p>
            <w:pPr>
              <w:jc w:val="center"/>
              <w:rPr>
                <w:rFonts w:ascii="宋体" w:hAnsi="宋体"/>
                <w:sz w:val="21"/>
                <w:szCs w:val="21"/>
                <w:highlight w:val="none"/>
              </w:rPr>
            </w:pPr>
            <w:bookmarkStart w:id="9" w:name="_Hlk89162324"/>
            <w:r>
              <w:rPr>
                <w:rFonts w:hint="eastAsia" w:ascii="宋体" w:hAnsi="宋体"/>
                <w:sz w:val="21"/>
                <w:szCs w:val="21"/>
                <w:highlight w:val="none"/>
              </w:rPr>
              <w:t>项目负责人</w:t>
            </w:r>
            <w:bookmarkEnd w:id="9"/>
          </w:p>
        </w:tc>
        <w:tc>
          <w:tcPr>
            <w:tcW w:w="999" w:type="dxa"/>
            <w:noWrap w:val="0"/>
            <w:vAlign w:val="center"/>
          </w:tcPr>
          <w:p>
            <w:pPr>
              <w:jc w:val="center"/>
              <w:rPr>
                <w:rFonts w:ascii="宋体" w:hAnsi="宋体"/>
                <w:sz w:val="21"/>
                <w:szCs w:val="21"/>
                <w:highlight w:val="none"/>
              </w:rPr>
            </w:pPr>
            <w:r>
              <w:rPr>
                <w:rFonts w:hint="eastAsia" w:ascii="宋体" w:hAnsi="宋体"/>
                <w:sz w:val="21"/>
                <w:szCs w:val="21"/>
                <w:highlight w:val="none"/>
              </w:rPr>
              <w:t>1</w:t>
            </w:r>
          </w:p>
        </w:tc>
        <w:tc>
          <w:tcPr>
            <w:tcW w:w="6619" w:type="dxa"/>
            <w:noWrap w:val="0"/>
            <w:vAlign w:val="center"/>
          </w:tcPr>
          <w:p>
            <w:pPr>
              <w:rPr>
                <w:rFonts w:hint="eastAsia" w:ascii="宋体" w:hAnsi="宋体"/>
                <w:sz w:val="21"/>
                <w:szCs w:val="21"/>
                <w:highlight w:val="none"/>
              </w:rPr>
            </w:pPr>
            <w:bookmarkStart w:id="10" w:name="_Hlk93740577"/>
            <w:r>
              <w:rPr>
                <w:rFonts w:hint="eastAsia" w:ascii="宋体" w:hAnsi="宋体"/>
                <w:sz w:val="21"/>
                <w:szCs w:val="21"/>
                <w:highlight w:val="none"/>
              </w:rPr>
              <w:t>具有中国软件评测中心颁发的软件</w:t>
            </w:r>
            <w:r>
              <w:rPr>
                <w:rFonts w:hint="eastAsia" w:ascii="宋体" w:hAnsi="宋体"/>
                <w:sz w:val="21"/>
                <w:szCs w:val="21"/>
                <w:highlight w:val="none"/>
                <w:lang w:eastAsia="zh-CN"/>
              </w:rPr>
              <w:t>性能测试高级工程师或</w:t>
            </w:r>
            <w:r>
              <w:rPr>
                <w:rFonts w:hint="eastAsia" w:ascii="宋体" w:hAnsi="宋体" w:eastAsia="宋体" w:cs="宋体"/>
                <w:color w:val="auto"/>
                <w:sz w:val="21"/>
                <w:szCs w:val="21"/>
                <w:highlight w:val="none"/>
              </w:rPr>
              <w:t>中华人民共和国人力资源和社会保障部、工业和信息化部</w:t>
            </w:r>
            <w:r>
              <w:rPr>
                <w:rFonts w:hint="eastAsia" w:ascii="宋体" w:hAnsi="宋体" w:eastAsia="宋体" w:cs="宋体"/>
                <w:color w:val="auto"/>
                <w:sz w:val="21"/>
                <w:szCs w:val="21"/>
                <w:highlight w:val="none"/>
                <w:lang w:eastAsia="zh-CN"/>
              </w:rPr>
              <w:t>颁发</w:t>
            </w:r>
            <w:r>
              <w:rPr>
                <w:rFonts w:hint="eastAsia" w:ascii="宋体" w:hAnsi="宋体" w:eastAsia="宋体" w:cs="宋体"/>
                <w:color w:val="auto"/>
                <w:sz w:val="21"/>
                <w:szCs w:val="21"/>
                <w:highlight w:val="none"/>
              </w:rPr>
              <w:t>的软件评测师（中级）证书</w:t>
            </w:r>
            <w:r>
              <w:rPr>
                <w:rFonts w:hint="eastAsia" w:ascii="宋体" w:hAnsi="宋体"/>
                <w:sz w:val="21"/>
                <w:szCs w:val="21"/>
                <w:highlight w:val="none"/>
              </w:rPr>
              <w:t>。</w:t>
            </w:r>
            <w:bookmarkEnd w:id="10"/>
          </w:p>
        </w:tc>
      </w:tr>
    </w:tbl>
    <w:p>
      <w:pPr>
        <w:ind w:firstLine="420" w:firstLineChars="200"/>
        <w:rPr>
          <w:rFonts w:ascii="宋体" w:hAnsi="宋体"/>
          <w:sz w:val="21"/>
          <w:szCs w:val="21"/>
          <w:highlight w:val="none"/>
        </w:rPr>
      </w:pPr>
    </w:p>
    <w:p>
      <w:pPr>
        <w:spacing w:line="360" w:lineRule="auto"/>
        <w:outlineLvl w:val="3"/>
        <w:rPr>
          <w:rFonts w:hint="eastAsia" w:ascii="宋体" w:hAnsi="宋体"/>
          <w:b/>
          <w:sz w:val="24"/>
          <w:highlight w:val="none"/>
        </w:rPr>
      </w:pPr>
      <w:r>
        <w:rPr>
          <w:rFonts w:ascii="宋体" w:hAnsi="宋体"/>
          <w:highlight w:val="none"/>
        </w:rPr>
        <w:br w:type="page"/>
      </w: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：评标办法</w:t>
      </w:r>
    </w:p>
    <w:p>
      <w:pPr>
        <w:pStyle w:val="22"/>
        <w:spacing w:line="276" w:lineRule="auto"/>
        <w:outlineLvl w:val="9"/>
        <w:rPr>
          <w:rFonts w:hint="eastAsia" w:ascii="宋体" w:hAnsi="宋体" w:eastAsia="宋体"/>
          <w:sz w:val="30"/>
          <w:szCs w:val="30"/>
          <w:highlight w:val="none"/>
        </w:rPr>
      </w:pPr>
      <w:bookmarkStart w:id="11" w:name="_Hlk93740604"/>
      <w:bookmarkStart w:id="12" w:name="_Toc509660966"/>
      <w:bookmarkStart w:id="13" w:name="_Toc514238202"/>
      <w:bookmarkStart w:id="14" w:name="_Toc509659998"/>
      <w:bookmarkStart w:id="15" w:name="_Toc450319202"/>
      <w:bookmarkStart w:id="16" w:name="_Toc459307890"/>
      <w:bookmarkStart w:id="17" w:name="_Toc502992691"/>
      <w:bookmarkStart w:id="18" w:name="_Toc445382083"/>
      <w:bookmarkStart w:id="19" w:name="_Toc444271617"/>
      <w:bookmarkStart w:id="20" w:name="_Toc444088432"/>
      <w:bookmarkStart w:id="21" w:name="_Toc445222503"/>
      <w:r>
        <w:rPr>
          <w:rFonts w:hint="eastAsia" w:ascii="宋体" w:hAnsi="宋体" w:eastAsia="宋体"/>
          <w:sz w:val="30"/>
          <w:szCs w:val="30"/>
          <w:highlight w:val="none"/>
        </w:rPr>
        <w:t>评标办法</w:t>
      </w:r>
      <w:bookmarkEnd w:id="11"/>
      <w:r>
        <w:rPr>
          <w:rFonts w:hint="eastAsia" w:ascii="宋体" w:hAnsi="宋体" w:eastAsia="宋体"/>
          <w:sz w:val="30"/>
          <w:szCs w:val="30"/>
          <w:highlight w:val="none"/>
        </w:rPr>
        <w:t>（综合评估法）</w:t>
      </w:r>
      <w:bookmarkEnd w:id="12"/>
      <w:bookmarkEnd w:id="13"/>
      <w:bookmarkEnd w:id="14"/>
      <w:bookmarkEnd w:id="15"/>
      <w:bookmarkEnd w:id="16"/>
      <w:bookmarkEnd w:id="17"/>
    </w:p>
    <w:p>
      <w:pPr>
        <w:pStyle w:val="22"/>
        <w:spacing w:line="276" w:lineRule="auto"/>
        <w:jc w:val="both"/>
        <w:rPr>
          <w:rFonts w:ascii="宋体" w:hAnsi="宋体" w:eastAsia="宋体"/>
          <w:sz w:val="24"/>
          <w:szCs w:val="30"/>
          <w:highlight w:val="none"/>
        </w:rPr>
      </w:pPr>
      <w:bookmarkStart w:id="22" w:name="_Toc514238203"/>
      <w:r>
        <w:rPr>
          <w:rFonts w:hint="eastAsia" w:ascii="宋体" w:hAnsi="宋体" w:eastAsia="宋体"/>
          <w:sz w:val="24"/>
          <w:szCs w:val="30"/>
          <w:highlight w:val="none"/>
        </w:rPr>
        <w:t>评标办法前附表</w:t>
      </w:r>
      <w:bookmarkEnd w:id="18"/>
      <w:bookmarkEnd w:id="19"/>
      <w:bookmarkEnd w:id="20"/>
      <w:bookmarkEnd w:id="21"/>
      <w:bookmarkEnd w:id="22"/>
      <w:bookmarkStart w:id="23" w:name="_Toc472700283"/>
      <w:bookmarkStart w:id="24" w:name="_Toc476561971"/>
      <w:bookmarkStart w:id="25" w:name="_Toc459307892"/>
      <w:bookmarkStart w:id="26" w:name="_Toc478141167"/>
      <w:bookmarkStart w:id="27" w:name="_Toc45661952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条款名称</w:t>
            </w:r>
          </w:p>
        </w:tc>
        <w:tc>
          <w:tcPr>
            <w:tcW w:w="7250"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评标办法</w:t>
            </w:r>
          </w:p>
        </w:tc>
        <w:tc>
          <w:tcPr>
            <w:tcW w:w="7250" w:type="dxa"/>
            <w:noWrap w:val="0"/>
            <w:vAlign w:val="center"/>
          </w:tcPr>
          <w:p>
            <w:pPr>
              <w:snapToGrid w:val="0"/>
              <w:spacing w:line="32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（1）评标价低的投标人优先；</w:t>
            </w:r>
          </w:p>
          <w:p>
            <w:pPr>
              <w:adjustRightInd w:val="0"/>
              <w:snapToGrid w:val="0"/>
              <w:spacing w:line="3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（2）技术</w:t>
            </w:r>
            <w:r>
              <w:rPr>
                <w:rFonts w:hint="eastAsia" w:ascii="宋体" w:hAnsi="宋体" w:eastAsia="宋体" w:cs="宋体"/>
                <w:sz w:val="21"/>
                <w:szCs w:val="21"/>
                <w:highlight w:val="none"/>
                <w:lang w:val="en-US" w:eastAsia="zh-CN"/>
              </w:rPr>
              <w:t>建议书</w:t>
            </w:r>
            <w:r>
              <w:rPr>
                <w:rFonts w:hint="eastAsia" w:ascii="宋体" w:hAnsi="宋体" w:eastAsia="宋体" w:cs="宋体"/>
                <w:sz w:val="21"/>
                <w:szCs w:val="21"/>
                <w:highlight w:val="none"/>
              </w:rPr>
              <w:t>得分较高的投标人优先；</w:t>
            </w:r>
          </w:p>
          <w:p>
            <w:pPr>
              <w:adjustRightInd w:val="0"/>
              <w:snapToGrid w:val="0"/>
              <w:spacing w:line="3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（3）投标人近</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年内满足资格审查条件(业绩最低条件)要求的业绩累计金额高的优先。</w:t>
            </w:r>
          </w:p>
          <w:p>
            <w:pPr>
              <w:keepNext w:val="0"/>
              <w:keepLines w:val="0"/>
              <w:pageBreakBefore w:val="0"/>
              <w:widowControl w:val="0"/>
              <w:kinsoku/>
              <w:wordWrap/>
              <w:overflowPunct/>
              <w:topLinePunct w:val="0"/>
              <w:bidi w:val="0"/>
              <w:snapToGrid w:val="0"/>
              <w:spacing w:line="320" w:lineRule="exact"/>
              <w:ind w:firstLine="272"/>
              <w:jc w:val="left"/>
              <w:textAlignment w:val="auto"/>
              <w:rPr>
                <w:rFonts w:hint="eastAsia" w:ascii="宋体" w:hAnsi="宋体" w:eastAsia="宋体" w:cs="宋体"/>
                <w:spacing w:val="-4"/>
                <w:sz w:val="21"/>
                <w:szCs w:val="21"/>
                <w:highlight w:val="none"/>
              </w:rPr>
            </w:pPr>
            <w:r>
              <w:rPr>
                <w:rFonts w:hint="eastAsia" w:ascii="宋体" w:hAnsi="宋体" w:eastAsia="宋体" w:cs="宋体"/>
                <w:sz w:val="21"/>
                <w:szCs w:val="21"/>
                <w:highlight w:val="none"/>
                <w:lang w:val="en-US" w:eastAsia="zh-CN"/>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w:t>
            </w:r>
          </w:p>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2.1.3</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形式评审与响应性评审标准</w:t>
            </w:r>
          </w:p>
        </w:tc>
        <w:tc>
          <w:tcPr>
            <w:tcW w:w="7250" w:type="dxa"/>
            <w:noWrap w:val="0"/>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第一个信封（商务及技术文件）评审标准:</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a.投标函按招标文件规定填报了项目名称、补遗书编号（如有）、质量要求、安全目标、服务期限及项目负责人信息；</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b</w:t>
            </w:r>
            <w:r>
              <w:rPr>
                <w:rFonts w:hint="eastAsia" w:ascii="宋体" w:hAnsi="宋体" w:eastAsia="宋体" w:cs="宋体"/>
                <w:bCs/>
                <w:sz w:val="21"/>
                <w:szCs w:val="21"/>
                <w:highlight w:val="none"/>
              </w:rPr>
              <w:t>.投标文件组成齐全完整，内容均按规定填写。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（3）投标人按照招标文件的规定提供了投标保证金：</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a.投标保证金金额符合招标文件规定的金额，且投标保证金有效期不少于投标有效期；</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b.若投标保证金采用电汇或转账形式提交，投标人应在递交投标文件截止时间之前，将投标保证金由投标人的基本账户转入招标人指定账户；</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c.若投标保证金采用银行保函形式提交，银行保函的格式、开具保函的银行均满足招标文件要求，且在递交投标文件截止时间之前向招标人提交了银行保函原件。</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（4）投标人法定代表人授权委托代理人签署投标文件的，须提交授权委托书，授权委托书的签字盖章符合招标文件规定，授权委托书只能授权给一名委托代理人。 </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（5）投标人法定代表人亲自签署投标文件的，提供了法定代表人身份证明，法定代表人身份证明的签字盖章符合招标文件规定。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（6）投标人未以联合体形式投标。</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（7）投标人未对本项目提出分包计划。</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（8）同一投标人未提交两个以上不同的投标文件。</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（9）投标文件第一信封中未出现有关投标报价的内容。</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（10）投标文件载明的招标项目完成期限未超过招标文件规定的时限。</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（11）投标文件对招标文件的实质性要求和条件作出响应。</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（12）权利义务符合招标文件规定：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a.投标人应接受招标文件规定的风险划分原则，未提出新的风险划分办法；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b.投标人未增加发包人的责任范围，或减少投标人义务；</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c.投标人未提出不同的支付办法；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d.投标人对合同纠纷、事故处理办法未提出异议；</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e.投标人在投标活动中无欺诈行为；</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f.投标人未对合同条款有重要保留。</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sz w:val="21"/>
                <w:szCs w:val="21"/>
                <w:highlight w:val="none"/>
              </w:rPr>
            </w:pPr>
            <w:bookmarkStart w:id="28" w:name="_Hlk93740610"/>
            <w:r>
              <w:rPr>
                <w:rFonts w:hint="eastAsia" w:ascii="宋体" w:hAnsi="宋体" w:eastAsia="宋体" w:cs="宋体"/>
                <w:b/>
                <w:sz w:val="21"/>
                <w:szCs w:val="21"/>
                <w:highlight w:val="none"/>
              </w:rPr>
              <w:t>第二个信封（报价文件）评审标准：</w:t>
            </w:r>
          </w:p>
          <w:bookmarkEnd w:id="28"/>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a.投标函按招标文件规定填报了项目名称、补遗书编号（如有）、投标价（包括大写金额和小写金额）；</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105" w:firstLineChars="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（3）投标函中的报价未超过招标文件设定的最高投标限价。</w:t>
            </w:r>
          </w:p>
          <w:p>
            <w:pPr>
              <w:keepNext w:val="0"/>
              <w:keepLines w:val="0"/>
              <w:pageBreakBefore w:val="0"/>
              <w:widowControl w:val="0"/>
              <w:tabs>
                <w:tab w:val="left" w:pos="3060"/>
              </w:tabs>
              <w:kinsoku/>
              <w:wordWrap/>
              <w:overflowPunct/>
              <w:topLinePunct w:val="0"/>
              <w:bidi w:val="0"/>
              <w:snapToGrid w:val="0"/>
              <w:spacing w:line="320" w:lineRule="exact"/>
              <w:ind w:firstLine="105" w:firstLineChars="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（4）投标函中报价的大写金额能够确定具体数值。</w:t>
            </w:r>
          </w:p>
          <w:p>
            <w:pPr>
              <w:keepNext w:val="0"/>
              <w:keepLines w:val="0"/>
              <w:pageBreakBefore w:val="0"/>
              <w:widowControl w:val="0"/>
              <w:tabs>
                <w:tab w:val="left" w:pos="3060"/>
              </w:tabs>
              <w:kinsoku/>
              <w:wordWrap/>
              <w:overflowPunct/>
              <w:topLinePunct w:val="0"/>
              <w:bidi w:val="0"/>
              <w:snapToGrid w:val="0"/>
              <w:spacing w:line="320" w:lineRule="exact"/>
              <w:ind w:firstLine="105" w:firstLineChars="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（5）同一投标人未提交两个以上不同的投标报价。</w:t>
            </w:r>
          </w:p>
          <w:p>
            <w:pPr>
              <w:keepNext w:val="0"/>
              <w:keepLines w:val="0"/>
              <w:pageBreakBefore w:val="0"/>
              <w:widowControl w:val="0"/>
              <w:tabs>
                <w:tab w:val="left" w:pos="3060"/>
              </w:tabs>
              <w:kinsoku/>
              <w:wordWrap/>
              <w:overflowPunct/>
              <w:topLinePunct w:val="0"/>
              <w:bidi w:val="0"/>
              <w:snapToGrid w:val="0"/>
              <w:spacing w:line="320" w:lineRule="exact"/>
              <w:ind w:firstLine="105" w:firstLineChars="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（6）报价清单中的投标报价与投标函大写金额一致。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资格评审标准</w:t>
            </w:r>
          </w:p>
        </w:tc>
        <w:tc>
          <w:tcPr>
            <w:tcW w:w="7250" w:type="dxa"/>
            <w:noWrap w:val="0"/>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（1）投标人具备有效的营业执照、组织机构代码证（三证合一或五证合一的除外）和基本账户开户许可证（或基本存款账户信息）；</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）投标人的业绩符合招标文件规定；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）投标人的信誉符合招标文件规定；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）投标人的项目负责人资格符合招标文件规定；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）投标人不存在第二章“投标人须知”第1.4.3项或第1.4.4项规定的任何一种情形。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bookmarkStart w:id="29" w:name="_Hlk98247986"/>
            <w:r>
              <w:rPr>
                <w:rFonts w:hint="eastAsia" w:ascii="宋体" w:hAnsi="宋体" w:eastAsia="宋体" w:cs="宋体"/>
                <w:sz w:val="21"/>
                <w:szCs w:val="21"/>
                <w:highlight w:val="none"/>
              </w:rPr>
              <w:t>分值构成</w:t>
            </w:r>
            <w:bookmarkEnd w:id="29"/>
          </w:p>
        </w:tc>
        <w:tc>
          <w:tcPr>
            <w:tcW w:w="72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第一信封（商务及技术文件）评分分值构成：</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技术建议书：</w:t>
            </w:r>
            <w:r>
              <w:rPr>
                <w:rFonts w:hint="eastAsia" w:ascii="宋体" w:hAnsi="宋体" w:eastAsia="宋体" w:cs="宋体"/>
                <w:kern w:val="0"/>
                <w:sz w:val="21"/>
                <w:szCs w:val="21"/>
                <w:highlight w:val="none"/>
                <w:lang w:val="en-US" w:eastAsia="zh-CN"/>
              </w:rPr>
              <w:t>40</w:t>
            </w:r>
            <w:r>
              <w:rPr>
                <w:rFonts w:hint="eastAsia" w:ascii="宋体" w:hAnsi="宋体" w:eastAsia="宋体" w:cs="宋体"/>
                <w:kern w:val="0"/>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default" w:eastAsia="宋体"/>
                <w:highlight w:val="none"/>
                <w:lang w:val="en-US" w:eastAsia="zh-CN"/>
              </w:rPr>
            </w:pPr>
            <w:r>
              <w:rPr>
                <w:rFonts w:hint="eastAsia" w:ascii="宋体" w:hAnsi="宋体" w:eastAsia="宋体" w:cs="宋体"/>
                <w:kern w:val="0"/>
                <w:sz w:val="21"/>
                <w:szCs w:val="21"/>
                <w:highlight w:val="none"/>
                <w:lang w:val="en-US" w:eastAsia="zh-CN"/>
              </w:rPr>
              <w:t>主要人员：  20分</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其他因素</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30</w:t>
            </w:r>
            <w:r>
              <w:rPr>
                <w:rFonts w:hint="eastAsia" w:ascii="宋体" w:hAnsi="宋体" w:eastAsia="宋体" w:cs="宋体"/>
                <w:kern w:val="0"/>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第二信封（报价文件）评分分值构成：</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ind w:right="11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ind w:left="2"/>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7250" w:type="dxa"/>
            <w:noWrap w:val="0"/>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评标基准价的计算：</w:t>
            </w:r>
          </w:p>
          <w:p>
            <w:pPr>
              <w:keepNext w:val="0"/>
              <w:keepLines w:val="0"/>
              <w:pageBreakBefore w:val="0"/>
              <w:widowControl w:val="0"/>
              <w:kinsoku/>
              <w:wordWrap/>
              <w:overflowPunct/>
              <w:topLinePunct w:val="0"/>
              <w:bidi w:val="0"/>
              <w:snapToGrid w:val="0"/>
              <w:spacing w:line="32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所有通过第一个信封评审的投标文件，由评标委员会开启第二个信封，并当场计算并宣布评标基准价。</w:t>
            </w:r>
          </w:p>
          <w:p>
            <w:pPr>
              <w:keepNext w:val="0"/>
              <w:keepLines w:val="0"/>
              <w:pageBreakBefore w:val="0"/>
              <w:widowControl w:val="0"/>
              <w:kinsoku/>
              <w:wordWrap/>
              <w:overflowPunct/>
              <w:topLinePunct w:val="0"/>
              <w:bidi w:val="0"/>
              <w:snapToGrid w:val="0"/>
              <w:spacing w:line="32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（1）评标价的确定：</w:t>
            </w:r>
          </w:p>
          <w:p>
            <w:pPr>
              <w:keepNext w:val="0"/>
              <w:keepLines w:val="0"/>
              <w:pageBreakBefore w:val="0"/>
              <w:widowControl w:val="0"/>
              <w:kinsoku/>
              <w:wordWrap/>
              <w:overflowPunct/>
              <w:topLinePunct w:val="0"/>
              <w:bidi w:val="0"/>
              <w:snapToGrid w:val="0"/>
              <w:spacing w:line="32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评标价=投标函文字报价</w:t>
            </w:r>
          </w:p>
          <w:p>
            <w:pPr>
              <w:keepNext w:val="0"/>
              <w:keepLines w:val="0"/>
              <w:pageBreakBefore w:val="0"/>
              <w:widowControl w:val="0"/>
              <w:kinsoku/>
              <w:wordWrap/>
              <w:overflowPunct/>
              <w:topLinePunct w:val="0"/>
              <w:bidi w:val="0"/>
              <w:snapToGrid w:val="0"/>
              <w:spacing w:line="32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（2）评标价平均值的计算：</w:t>
            </w:r>
          </w:p>
          <w:p>
            <w:pPr>
              <w:keepNext w:val="0"/>
              <w:keepLines w:val="0"/>
              <w:pageBreakBefore w:val="0"/>
              <w:widowControl w:val="0"/>
              <w:kinsoku/>
              <w:wordWrap/>
              <w:overflowPunct/>
              <w:topLinePunct w:val="0"/>
              <w:bidi w:val="0"/>
              <w:snapToGrid w:val="0"/>
              <w:spacing w:line="32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bidi w:val="0"/>
              <w:snapToGrid w:val="0"/>
              <w:spacing w:line="32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（3）评标基准价的确定：</w:t>
            </w:r>
          </w:p>
          <w:p>
            <w:pPr>
              <w:pStyle w:val="23"/>
              <w:keepNext w:val="0"/>
              <w:keepLines w:val="0"/>
              <w:pageBreakBefore w:val="0"/>
              <w:widowControl w:val="0"/>
              <w:kinsoku/>
              <w:wordWrap/>
              <w:overflowPunct/>
              <w:topLinePunct w:val="0"/>
              <w:bidi w:val="0"/>
              <w:snapToGrid w:val="0"/>
              <w:spacing w:line="32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将评标价平均值直接作为评标基准价（评标基准价保留两位小数，小数点后第三位四舍五入）。</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ind w:right="11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2.2.3</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ind w:left="-42" w:leftChars="-15" w:right="-7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评标价的偏差率计算公式</w:t>
            </w:r>
          </w:p>
        </w:tc>
        <w:tc>
          <w:tcPr>
            <w:tcW w:w="7250" w:type="dxa"/>
            <w:noWrap w:val="0"/>
            <w:vAlign w:val="center"/>
          </w:tcPr>
          <w:p>
            <w:pPr>
              <w:keepNext w:val="0"/>
              <w:keepLines w:val="0"/>
              <w:pageBreakBefore w:val="0"/>
              <w:widowControl w:val="0"/>
              <w:kinsoku/>
              <w:wordWrap/>
              <w:overflowPunct/>
              <w:topLinePunct w:val="0"/>
              <w:bidi w:val="0"/>
              <w:snapToGrid w:val="0"/>
              <w:spacing w:line="32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ind w:right="11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3.6.1</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ind w:left="-42" w:leftChars="-15" w:right="-7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投标文件相关信息核查</w:t>
            </w:r>
          </w:p>
        </w:tc>
        <w:tc>
          <w:tcPr>
            <w:tcW w:w="7250"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在评标过程中，评标委员会应对以下信息进行查询：</w:t>
            </w:r>
          </w:p>
          <w:p>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评标委员会评标时在“国家企业信用信息公示系统”和“信用中国”网站对投标人的信用情况进行查询，若投标人存在“国家企业信用信息公示系统” 被列入严重违法失信名单（不含分公司）或在“信用中国”网站“被列入失信被执行人名单、异常经营名录、税收违法黑名单、政府采购严重违法失信名单”（均不含分公司）情形的，评标委员会应否决其投标。</w:t>
            </w:r>
          </w:p>
          <w:p>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如投标人未提供相关网页截图或所附截图内容与网站查询结果不一致，评标委员会应否决其投标。</w:t>
            </w:r>
          </w:p>
          <w:p>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r>
              <w:rPr>
                <w:rFonts w:hint="eastAsia" w:ascii="宋体" w:hAnsi="宋体" w:eastAsia="宋体" w:cs="宋体"/>
                <w:sz w:val="21"/>
                <w:szCs w:val="21"/>
                <w:highlight w:val="none"/>
                <w:lang w:eastAsia="zh-CN"/>
              </w:rPr>
              <w:t>。</w:t>
            </w:r>
          </w:p>
        </w:tc>
      </w:tr>
    </w:tbl>
    <w:p>
      <w:pPr>
        <w:jc w:val="right"/>
        <w:rPr>
          <w:rFonts w:ascii="宋体" w:hAnsi="宋体"/>
          <w:szCs w:val="21"/>
          <w:highlight w:val="none"/>
        </w:rPr>
      </w:pPr>
      <w:r>
        <w:rPr>
          <w:rFonts w:ascii="宋体" w:hAnsi="宋体"/>
          <w:sz w:val="24"/>
          <w:highlight w:val="none"/>
        </w:rPr>
        <w:br w:type="page"/>
      </w:r>
      <w:r>
        <w:rPr>
          <w:rFonts w:hint="eastAsia" w:ascii="宋体" w:hAnsi="宋体"/>
          <w:sz w:val="24"/>
          <w:highlight w:val="none"/>
        </w:rPr>
        <w:t>续上表</w:t>
      </w:r>
    </w:p>
    <w:tbl>
      <w:tblPr>
        <w:tblStyle w:val="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696"/>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936" w:type="dxa"/>
            <w:gridSpan w:val="5"/>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bookmarkStart w:id="30" w:name="_Hlk85726717"/>
            <w:r>
              <w:rPr>
                <w:rFonts w:hint="eastAsia" w:hAnsi="宋体"/>
                <w:sz w:val="21"/>
                <w:szCs w:val="21"/>
                <w:highlight w:val="none"/>
              </w:rPr>
              <w:t>评分因素与权重分值</w:t>
            </w:r>
          </w:p>
        </w:tc>
        <w:tc>
          <w:tcPr>
            <w:tcW w:w="5716" w:type="dxa"/>
            <w:vMerge w:val="restart"/>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ind w:left="-53" w:leftChars="-19" w:right="-42" w:rightChars="-15" w:firstLine="1"/>
              <w:jc w:val="center"/>
              <w:textAlignment w:val="auto"/>
              <w:rPr>
                <w:rFonts w:hAnsi="宋体"/>
                <w:sz w:val="21"/>
                <w:szCs w:val="21"/>
                <w:highlight w:val="none"/>
              </w:rPr>
            </w:pPr>
            <w:r>
              <w:rPr>
                <w:rFonts w:hint="eastAsia" w:hAnsi="宋体"/>
                <w:sz w:val="21"/>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Style w:val="24"/>
                <w:color w:val="auto"/>
                <w:sz w:val="21"/>
                <w:szCs w:val="21"/>
                <w:highlight w:val="none"/>
              </w:rPr>
              <w:t>各评分因素细分项</w:t>
            </w:r>
          </w:p>
        </w:tc>
        <w:tc>
          <w:tcPr>
            <w:tcW w:w="696" w:type="dxa"/>
            <w:tcBorders>
              <w:left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分值</w:t>
            </w:r>
          </w:p>
        </w:tc>
        <w:tc>
          <w:tcPr>
            <w:tcW w:w="5716" w:type="dxa"/>
            <w:vMerge w:val="continue"/>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41" w:type="dxa"/>
            <w:vMerge w:val="restart"/>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2.2.4（1）</w:t>
            </w:r>
          </w:p>
        </w:tc>
        <w:tc>
          <w:tcPr>
            <w:tcW w:w="741" w:type="dxa"/>
            <w:vMerge w:val="restart"/>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技术建议书</w:t>
            </w:r>
          </w:p>
        </w:tc>
        <w:tc>
          <w:tcPr>
            <w:tcW w:w="624" w:type="dxa"/>
            <w:vMerge w:val="restart"/>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lang w:val="en-US" w:eastAsia="zh-CN"/>
              </w:rPr>
              <w:t>40</w:t>
            </w:r>
            <w:r>
              <w:rPr>
                <w:rFonts w:hint="eastAsia" w:hAnsi="宋体"/>
                <w:sz w:val="21"/>
                <w:szCs w:val="21"/>
                <w:highlight w:val="none"/>
              </w:rPr>
              <w:t>分</w:t>
            </w:r>
          </w:p>
        </w:tc>
        <w:tc>
          <w:tcPr>
            <w:tcW w:w="1134" w:type="dxa"/>
            <w:tcBorders>
              <w:top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总体</w:t>
            </w:r>
            <w:r>
              <w:rPr>
                <w:rFonts w:hint="eastAsia" w:ascii="宋体" w:hAnsi="宋体" w:eastAsia="宋体" w:cs="宋体"/>
                <w:sz w:val="21"/>
                <w:szCs w:val="21"/>
                <w:highlight w:val="none"/>
              </w:rPr>
              <w:t>实施方案</w:t>
            </w:r>
          </w:p>
        </w:tc>
        <w:tc>
          <w:tcPr>
            <w:tcW w:w="696"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20" w:lineRule="exact"/>
              <w:ind w:leftChars="-48" w:right="-42" w:rightChars="-15" w:hanging="134" w:hangingChars="6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0分</w:t>
            </w:r>
          </w:p>
        </w:tc>
        <w:tc>
          <w:tcPr>
            <w:tcW w:w="5716" w:type="dxa"/>
            <w:noWrap w:val="0"/>
            <w:vAlign w:val="center"/>
          </w:tcPr>
          <w:p>
            <w:pPr>
              <w:pStyle w:val="23"/>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项目实施方案完善、细致，完全达到或优于用户要求，有很强的针对性，得</w:t>
            </w:r>
            <w:r>
              <w:rPr>
                <w:rFonts w:hint="eastAsia" w:ascii="宋体" w:hAnsi="宋体" w:eastAsia="宋体" w:cs="宋体"/>
                <w:color w:val="auto"/>
                <w:kern w:val="2"/>
                <w:sz w:val="21"/>
                <w:szCs w:val="21"/>
                <w:highlight w:val="none"/>
                <w:lang w:val="en-US" w:eastAsia="zh-CN"/>
              </w:rPr>
              <w:t>8-10</w:t>
            </w:r>
            <w:r>
              <w:rPr>
                <w:rFonts w:hint="eastAsia" w:ascii="宋体" w:hAnsi="宋体" w:eastAsia="宋体" w:cs="宋体"/>
                <w:color w:val="auto"/>
                <w:kern w:val="2"/>
                <w:sz w:val="21"/>
                <w:szCs w:val="21"/>
                <w:highlight w:val="none"/>
              </w:rPr>
              <w:t>分；</w:t>
            </w:r>
          </w:p>
          <w:p>
            <w:pPr>
              <w:pStyle w:val="23"/>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实施方案较完备、合理、能满足用户要求，针对性</w:t>
            </w:r>
            <w:r>
              <w:rPr>
                <w:rFonts w:hint="eastAsia" w:ascii="宋体" w:hAnsi="宋体" w:eastAsia="宋体" w:cs="宋体"/>
                <w:color w:val="auto"/>
                <w:kern w:val="2"/>
                <w:sz w:val="21"/>
                <w:szCs w:val="21"/>
                <w:highlight w:val="none"/>
                <w:lang w:val="en-US" w:eastAsia="zh-CN"/>
              </w:rPr>
              <w:t>较好</w:t>
            </w:r>
            <w:r>
              <w:rPr>
                <w:rFonts w:hint="eastAsia" w:ascii="宋体" w:hAnsi="宋体" w:eastAsia="宋体" w:cs="宋体"/>
                <w:color w:val="auto"/>
                <w:kern w:val="2"/>
                <w:sz w:val="21"/>
                <w:szCs w:val="21"/>
                <w:highlight w:val="none"/>
              </w:rPr>
              <w:t>，得</w:t>
            </w:r>
            <w:r>
              <w:rPr>
                <w:rFonts w:hint="eastAsia" w:ascii="宋体" w:hAnsi="宋体" w:eastAsia="宋体" w:cs="宋体"/>
                <w:color w:val="auto"/>
                <w:kern w:val="2"/>
                <w:sz w:val="21"/>
                <w:szCs w:val="21"/>
                <w:highlight w:val="none"/>
                <w:lang w:val="en-US" w:eastAsia="zh-CN"/>
              </w:rPr>
              <w:t>6-8</w:t>
            </w:r>
            <w:r>
              <w:rPr>
                <w:rFonts w:hint="eastAsia" w:ascii="宋体" w:hAnsi="宋体" w:eastAsia="宋体" w:cs="宋体"/>
                <w:color w:val="auto"/>
                <w:kern w:val="2"/>
                <w:sz w:val="21"/>
                <w:szCs w:val="21"/>
                <w:highlight w:val="none"/>
              </w:rPr>
              <w:t>分；</w:t>
            </w:r>
          </w:p>
          <w:p>
            <w:pPr>
              <w:pStyle w:val="23"/>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实施方案完备程度和合理性一般，基本满足用户要求，得</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r>
              <w:rPr>
                <w:rFonts w:hint="eastAsia"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41" w:type="dxa"/>
            <w:vMerge w:val="continue"/>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741" w:type="dxa"/>
            <w:vMerge w:val="continue"/>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624" w:type="dxa"/>
            <w:vMerge w:val="continue"/>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p>
        </w:tc>
        <w:tc>
          <w:tcPr>
            <w:tcW w:w="113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default" w:ascii="宋体" w:hAnsi="宋体" w:eastAsia="宋体" w:cs="宋体"/>
                <w:sz w:val="21"/>
                <w:szCs w:val="21"/>
                <w:highlight w:val="none"/>
                <w:lang w:val="en-US"/>
              </w:rPr>
            </w:pPr>
            <w:r>
              <w:rPr>
                <w:rFonts w:hint="eastAsia" w:ascii="宋体" w:hAnsi="宋体" w:eastAsia="宋体" w:cs="宋体"/>
                <w:color w:val="000000"/>
                <w:kern w:val="0"/>
                <w:sz w:val="21"/>
                <w:szCs w:val="21"/>
                <w:highlight w:val="none"/>
                <w:lang w:val="en-US" w:eastAsia="zh-CN" w:bidi="ar"/>
              </w:rPr>
              <w:t>工作大纲</w:t>
            </w:r>
          </w:p>
        </w:tc>
        <w:tc>
          <w:tcPr>
            <w:tcW w:w="696"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20" w:lineRule="exact"/>
              <w:ind w:leftChars="-48" w:right="-42" w:rightChars="-15" w:hanging="134" w:hangingChars="64"/>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10分</w:t>
            </w:r>
          </w:p>
        </w:tc>
        <w:tc>
          <w:tcPr>
            <w:tcW w:w="5716" w:type="dxa"/>
            <w:noWrap w:val="0"/>
            <w:vAlign w:val="center"/>
          </w:tcPr>
          <w:p>
            <w:pPr>
              <w:pStyle w:val="23"/>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根据投标人项目</w:t>
            </w:r>
            <w:r>
              <w:rPr>
                <w:rFonts w:hint="eastAsia" w:ascii="宋体" w:hAnsi="宋体" w:eastAsia="宋体" w:cs="宋体"/>
                <w:color w:val="000000"/>
                <w:kern w:val="0"/>
                <w:sz w:val="21"/>
                <w:szCs w:val="21"/>
                <w:highlight w:val="none"/>
                <w:lang w:val="en-US" w:eastAsia="zh-CN" w:bidi="ar"/>
              </w:rPr>
              <w:t>工作大纲</w:t>
            </w:r>
            <w:r>
              <w:rPr>
                <w:rFonts w:hint="eastAsia" w:ascii="宋体" w:hAnsi="宋体" w:eastAsia="宋体" w:cs="宋体"/>
                <w:color w:val="auto"/>
                <w:kern w:val="2"/>
                <w:sz w:val="21"/>
                <w:szCs w:val="21"/>
                <w:highlight w:val="none"/>
              </w:rPr>
              <w:t>进行打分：</w:t>
            </w:r>
          </w:p>
          <w:p>
            <w:pPr>
              <w:pStyle w:val="23"/>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w:t>
            </w:r>
            <w:r>
              <w:rPr>
                <w:rFonts w:hint="eastAsia" w:ascii="宋体" w:hAnsi="宋体" w:eastAsia="宋体" w:cs="宋体"/>
                <w:color w:val="000000"/>
                <w:kern w:val="0"/>
                <w:sz w:val="21"/>
                <w:szCs w:val="21"/>
                <w:highlight w:val="none"/>
                <w:lang w:val="en-US" w:eastAsia="zh-CN" w:bidi="ar"/>
              </w:rPr>
              <w:t>工作大纲</w:t>
            </w:r>
            <w:r>
              <w:rPr>
                <w:rFonts w:hint="eastAsia" w:ascii="宋体" w:hAnsi="宋体" w:eastAsia="宋体" w:cs="宋体"/>
                <w:color w:val="auto"/>
                <w:kern w:val="2"/>
                <w:sz w:val="21"/>
                <w:szCs w:val="21"/>
                <w:highlight w:val="none"/>
              </w:rPr>
              <w:t>完善、细致，完全达到或优于用户要求，得</w:t>
            </w:r>
            <w:r>
              <w:rPr>
                <w:rFonts w:hint="eastAsia" w:ascii="宋体" w:hAnsi="宋体" w:eastAsia="宋体" w:cs="宋体"/>
                <w:color w:val="auto"/>
                <w:kern w:val="2"/>
                <w:sz w:val="21"/>
                <w:szCs w:val="21"/>
                <w:highlight w:val="none"/>
                <w:lang w:val="en-US" w:eastAsia="zh-CN"/>
              </w:rPr>
              <w:t>8-10</w:t>
            </w:r>
            <w:r>
              <w:rPr>
                <w:rFonts w:hint="eastAsia" w:ascii="宋体" w:hAnsi="宋体" w:eastAsia="宋体" w:cs="宋体"/>
                <w:color w:val="auto"/>
                <w:kern w:val="2"/>
                <w:sz w:val="21"/>
                <w:szCs w:val="21"/>
                <w:highlight w:val="none"/>
              </w:rPr>
              <w:t>分；</w:t>
            </w:r>
          </w:p>
          <w:p>
            <w:pPr>
              <w:pStyle w:val="23"/>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w:t>
            </w:r>
            <w:r>
              <w:rPr>
                <w:rFonts w:hint="eastAsia" w:ascii="宋体" w:hAnsi="宋体" w:eastAsia="宋体" w:cs="宋体"/>
                <w:color w:val="000000"/>
                <w:kern w:val="0"/>
                <w:sz w:val="21"/>
                <w:szCs w:val="21"/>
                <w:highlight w:val="none"/>
                <w:lang w:val="en-US" w:eastAsia="zh-CN" w:bidi="ar"/>
              </w:rPr>
              <w:t>工作大纲</w:t>
            </w:r>
            <w:r>
              <w:rPr>
                <w:rFonts w:hint="eastAsia" w:ascii="宋体" w:hAnsi="宋体" w:eastAsia="宋体" w:cs="宋体"/>
                <w:color w:val="auto"/>
                <w:kern w:val="2"/>
                <w:sz w:val="21"/>
                <w:szCs w:val="21"/>
                <w:highlight w:val="none"/>
              </w:rPr>
              <w:t>完备、合理、能满足用户要求，针对性</w:t>
            </w:r>
            <w:r>
              <w:rPr>
                <w:rFonts w:hint="eastAsia" w:ascii="宋体" w:hAnsi="宋体" w:eastAsia="宋体" w:cs="宋体"/>
                <w:color w:val="auto"/>
                <w:kern w:val="2"/>
                <w:sz w:val="21"/>
                <w:szCs w:val="21"/>
                <w:highlight w:val="none"/>
                <w:lang w:val="en-US" w:eastAsia="zh-CN"/>
              </w:rPr>
              <w:t>较好</w:t>
            </w:r>
            <w:r>
              <w:rPr>
                <w:rFonts w:hint="eastAsia" w:ascii="宋体" w:hAnsi="宋体" w:eastAsia="宋体" w:cs="宋体"/>
                <w:color w:val="auto"/>
                <w:kern w:val="2"/>
                <w:sz w:val="21"/>
                <w:szCs w:val="21"/>
                <w:highlight w:val="none"/>
              </w:rPr>
              <w:t>，得</w:t>
            </w:r>
            <w:r>
              <w:rPr>
                <w:rFonts w:hint="eastAsia" w:ascii="宋体" w:hAnsi="宋体" w:eastAsia="宋体" w:cs="宋体"/>
                <w:color w:val="auto"/>
                <w:kern w:val="2"/>
                <w:sz w:val="21"/>
                <w:szCs w:val="21"/>
                <w:highlight w:val="none"/>
                <w:lang w:val="en-US" w:eastAsia="zh-CN"/>
              </w:rPr>
              <w:t>6-8</w:t>
            </w:r>
            <w:r>
              <w:rPr>
                <w:rFonts w:hint="eastAsia" w:ascii="宋体" w:hAnsi="宋体" w:eastAsia="宋体" w:cs="宋体"/>
                <w:color w:val="auto"/>
                <w:kern w:val="2"/>
                <w:sz w:val="21"/>
                <w:szCs w:val="21"/>
                <w:highlight w:val="none"/>
              </w:rPr>
              <w:t>分；</w:t>
            </w:r>
          </w:p>
          <w:p>
            <w:pPr>
              <w:pStyle w:val="23"/>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w:t>
            </w:r>
            <w:r>
              <w:rPr>
                <w:rFonts w:hint="eastAsia" w:ascii="宋体" w:hAnsi="宋体" w:eastAsia="宋体" w:cs="宋体"/>
                <w:color w:val="000000"/>
                <w:kern w:val="0"/>
                <w:sz w:val="21"/>
                <w:szCs w:val="21"/>
                <w:highlight w:val="none"/>
                <w:lang w:val="en-US" w:eastAsia="zh-CN" w:bidi="ar"/>
              </w:rPr>
              <w:t>工作大纲</w:t>
            </w:r>
            <w:r>
              <w:rPr>
                <w:rFonts w:hint="eastAsia" w:ascii="宋体" w:hAnsi="宋体" w:eastAsia="宋体" w:cs="宋体"/>
                <w:color w:val="auto"/>
                <w:kern w:val="2"/>
                <w:sz w:val="21"/>
                <w:szCs w:val="21"/>
                <w:highlight w:val="none"/>
              </w:rPr>
              <w:t>完备程度和合理性一般，基本满足用户要求</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 得</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41" w:type="dxa"/>
            <w:vMerge w:val="continue"/>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741" w:type="dxa"/>
            <w:vMerge w:val="continue"/>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624" w:type="dxa"/>
            <w:vMerge w:val="continue"/>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p>
        </w:tc>
        <w:tc>
          <w:tcPr>
            <w:tcW w:w="113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服务团队</w:t>
            </w: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Chars="-48" w:right="-42" w:rightChars="-15" w:hanging="134" w:hangingChars="64"/>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10分</w:t>
            </w:r>
          </w:p>
        </w:tc>
        <w:tc>
          <w:tcPr>
            <w:tcW w:w="5716" w:type="dxa"/>
            <w:noWrap w:val="0"/>
            <w:vAlign w:val="center"/>
          </w:tcPr>
          <w:p>
            <w:pPr>
              <w:pStyle w:val="23"/>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w:t>
            </w:r>
            <w:r>
              <w:rPr>
                <w:rFonts w:hint="eastAsia" w:ascii="宋体" w:hAnsi="宋体" w:eastAsia="宋体" w:cs="宋体"/>
                <w:sz w:val="21"/>
                <w:szCs w:val="21"/>
                <w:highlight w:val="none"/>
                <w:lang w:val="en-US" w:eastAsia="zh-CN"/>
              </w:rPr>
              <w:t>服务团队</w:t>
            </w:r>
            <w:r>
              <w:rPr>
                <w:rFonts w:hint="eastAsia" w:ascii="宋体" w:hAnsi="宋体" w:eastAsia="宋体" w:cs="宋体"/>
                <w:sz w:val="21"/>
                <w:szCs w:val="21"/>
                <w:highlight w:val="none"/>
              </w:rPr>
              <w:t>进行打分：</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服务团队配置科学合理，专业性强，得8-10分；</w:t>
            </w:r>
          </w:p>
          <w:p>
            <w:pPr>
              <w:pStyle w:val="2"/>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服务团队配置基本合理，专业性较好，得6-8分；</w:t>
            </w:r>
          </w:p>
          <w:p>
            <w:pPr>
              <w:pStyle w:val="2"/>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服务团队配置一般，专业性一般，得6分。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741" w:type="dxa"/>
            <w:vMerge w:val="continue"/>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741" w:type="dxa"/>
            <w:vMerge w:val="continue"/>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624" w:type="dxa"/>
            <w:vMerge w:val="continue"/>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p>
        </w:tc>
        <w:tc>
          <w:tcPr>
            <w:tcW w:w="113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服务保障</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p>
        </w:tc>
        <w:tc>
          <w:tcPr>
            <w:tcW w:w="69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Chars="-48" w:right="-42" w:rightChars="-15" w:hanging="134" w:hangingChars="6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10分</w:t>
            </w:r>
          </w:p>
        </w:tc>
        <w:tc>
          <w:tcPr>
            <w:tcW w:w="57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根据投标人对本项目的服务保障方案进行评分： </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服务保障体系及措施完善，技术支持能力强，服务响应快，响应程度高，优于采购需求的，得8-10分； </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服务保障体系及措施</w:t>
            </w:r>
            <w:r>
              <w:rPr>
                <w:rFonts w:hint="eastAsia" w:ascii="宋体" w:hAnsi="宋体" w:eastAsia="宋体" w:cs="宋体"/>
                <w:color w:val="auto"/>
                <w:kern w:val="2"/>
                <w:sz w:val="21"/>
                <w:szCs w:val="21"/>
                <w:highlight w:val="none"/>
                <w:lang w:val="en-US" w:eastAsia="zh-CN"/>
              </w:rPr>
              <w:t>较好</w:t>
            </w:r>
            <w:r>
              <w:rPr>
                <w:rFonts w:hint="eastAsia" w:ascii="宋体" w:hAnsi="宋体" w:eastAsia="宋体" w:cs="宋体"/>
                <w:color w:val="000000"/>
                <w:kern w:val="0"/>
                <w:sz w:val="21"/>
                <w:szCs w:val="21"/>
                <w:highlight w:val="none"/>
                <w:lang w:val="en-US" w:eastAsia="zh-CN" w:bidi="ar"/>
              </w:rPr>
              <w:t>，技术支持能力</w:t>
            </w:r>
            <w:r>
              <w:rPr>
                <w:rFonts w:hint="eastAsia" w:ascii="宋体" w:hAnsi="宋体" w:eastAsia="宋体" w:cs="宋体"/>
                <w:color w:val="auto"/>
                <w:kern w:val="2"/>
                <w:sz w:val="21"/>
                <w:szCs w:val="21"/>
                <w:highlight w:val="none"/>
                <w:lang w:val="en-US" w:eastAsia="zh-CN"/>
              </w:rPr>
              <w:t>较好</w:t>
            </w:r>
            <w:r>
              <w:rPr>
                <w:rFonts w:hint="eastAsia" w:ascii="宋体" w:hAnsi="宋体" w:eastAsia="宋体" w:cs="宋体"/>
                <w:color w:val="000000"/>
                <w:kern w:val="0"/>
                <w:sz w:val="21"/>
                <w:szCs w:val="21"/>
                <w:highlight w:val="none"/>
                <w:lang w:val="en-US" w:eastAsia="zh-CN" w:bidi="ar"/>
              </w:rPr>
              <w:t>，服务响应</w:t>
            </w:r>
            <w:r>
              <w:rPr>
                <w:rFonts w:hint="eastAsia" w:ascii="宋体" w:hAnsi="宋体" w:eastAsia="宋体" w:cs="宋体"/>
                <w:color w:val="auto"/>
                <w:kern w:val="2"/>
                <w:sz w:val="21"/>
                <w:szCs w:val="21"/>
                <w:highlight w:val="none"/>
                <w:lang w:val="en-US" w:eastAsia="zh-CN"/>
              </w:rPr>
              <w:t>较好</w:t>
            </w:r>
            <w:r>
              <w:rPr>
                <w:rFonts w:hint="eastAsia" w:ascii="宋体" w:hAnsi="宋体" w:eastAsia="宋体" w:cs="宋体"/>
                <w:color w:val="000000"/>
                <w:kern w:val="0"/>
                <w:sz w:val="21"/>
                <w:szCs w:val="21"/>
                <w:highlight w:val="none"/>
                <w:lang w:val="en-US" w:eastAsia="zh-CN" w:bidi="ar"/>
              </w:rPr>
              <w:t xml:space="preserve">的，得6-8分； </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highlight w:val="none"/>
                <w:lang w:val="en-US" w:eastAsia="zh-CN" w:bidi="ar"/>
              </w:rPr>
              <w:t>服务保障体系及措施一般，技术支持能力一般，服务响应一般的，得6分；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41" w:type="dxa"/>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default" w:hAnsi="宋体" w:eastAsia="宋体"/>
                <w:sz w:val="21"/>
                <w:szCs w:val="21"/>
                <w:highlight w:val="none"/>
                <w:lang w:val="en-US" w:eastAsia="zh-CN"/>
              </w:rPr>
            </w:pPr>
            <w:r>
              <w:rPr>
                <w:rFonts w:hint="eastAsia" w:hAnsi="宋体"/>
                <w:sz w:val="21"/>
                <w:szCs w:val="21"/>
                <w:highlight w:val="none"/>
                <w:lang w:val="en-US" w:eastAsia="zh-CN"/>
              </w:rPr>
              <w:t>2.2.4（2）</w:t>
            </w:r>
          </w:p>
        </w:tc>
        <w:tc>
          <w:tcPr>
            <w:tcW w:w="741" w:type="dxa"/>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default" w:hAnsi="宋体" w:eastAsia="宋体"/>
                <w:sz w:val="21"/>
                <w:szCs w:val="21"/>
                <w:highlight w:val="none"/>
                <w:lang w:val="en-US" w:eastAsia="zh-CN"/>
              </w:rPr>
            </w:pPr>
            <w:r>
              <w:rPr>
                <w:rFonts w:hint="eastAsia" w:hAnsi="宋体"/>
                <w:sz w:val="21"/>
                <w:szCs w:val="21"/>
                <w:highlight w:val="none"/>
                <w:lang w:val="en-US" w:eastAsia="zh-CN"/>
              </w:rPr>
              <w:t>主要人员</w:t>
            </w:r>
          </w:p>
        </w:tc>
        <w:tc>
          <w:tcPr>
            <w:tcW w:w="624" w:type="dxa"/>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default" w:hAnsi="宋体" w:eastAsia="宋体"/>
                <w:sz w:val="21"/>
                <w:szCs w:val="21"/>
                <w:highlight w:val="none"/>
                <w:lang w:val="en-US" w:eastAsia="zh-CN"/>
              </w:rPr>
            </w:pPr>
            <w:r>
              <w:rPr>
                <w:rFonts w:hint="eastAsia" w:hAnsi="宋体"/>
                <w:sz w:val="21"/>
                <w:szCs w:val="21"/>
                <w:highlight w:val="none"/>
                <w:lang w:val="en-US" w:eastAsia="zh-CN"/>
              </w:rPr>
              <w:t>20分</w:t>
            </w:r>
          </w:p>
        </w:tc>
        <w:tc>
          <w:tcPr>
            <w:tcW w:w="1134" w:type="dxa"/>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default" w:hAnsi="宋体" w:eastAsia="宋体"/>
                <w:sz w:val="21"/>
                <w:szCs w:val="21"/>
                <w:highlight w:val="none"/>
                <w:lang w:val="en-US" w:eastAsia="zh-CN"/>
              </w:rPr>
            </w:pPr>
            <w:r>
              <w:rPr>
                <w:rFonts w:hint="eastAsia" w:hAnsi="宋体"/>
                <w:sz w:val="21"/>
                <w:szCs w:val="21"/>
                <w:highlight w:val="none"/>
                <w:lang w:val="en-US" w:eastAsia="zh-CN"/>
              </w:rPr>
              <w:t>主要人员</w:t>
            </w:r>
          </w:p>
        </w:tc>
        <w:tc>
          <w:tcPr>
            <w:tcW w:w="696" w:type="dxa"/>
            <w:noWrap w:val="0"/>
            <w:vAlign w:val="center"/>
          </w:tcPr>
          <w:p>
            <w:pPr>
              <w:pStyle w:val="5"/>
              <w:keepNext w:val="0"/>
              <w:keepLines w:val="0"/>
              <w:pageBreakBefore w:val="0"/>
              <w:widowControl w:val="0"/>
              <w:kinsoku/>
              <w:wordWrap/>
              <w:overflowPunct/>
              <w:topLinePunct w:val="0"/>
              <w:bidi w:val="0"/>
              <w:snapToGrid w:val="0"/>
              <w:spacing w:line="320" w:lineRule="exact"/>
              <w:ind w:leftChars="-48" w:right="-42" w:rightChars="-15" w:hanging="134" w:hangingChars="64"/>
              <w:jc w:val="center"/>
              <w:textAlignment w:val="auto"/>
              <w:rPr>
                <w:rFonts w:hAnsi="宋体"/>
                <w:sz w:val="21"/>
                <w:szCs w:val="21"/>
                <w:highlight w:val="none"/>
              </w:rPr>
            </w:pPr>
            <w:r>
              <w:rPr>
                <w:rFonts w:hAnsi="宋体"/>
                <w:sz w:val="21"/>
                <w:szCs w:val="21"/>
                <w:highlight w:val="none"/>
              </w:rPr>
              <w:t>20</w:t>
            </w:r>
          </w:p>
          <w:p>
            <w:pPr>
              <w:pStyle w:val="5"/>
              <w:keepNext w:val="0"/>
              <w:keepLines w:val="0"/>
              <w:pageBreakBefore w:val="0"/>
              <w:widowControl w:val="0"/>
              <w:kinsoku/>
              <w:wordWrap/>
              <w:overflowPunct/>
              <w:topLinePunct w:val="0"/>
              <w:bidi w:val="0"/>
              <w:snapToGrid w:val="0"/>
              <w:spacing w:line="320" w:lineRule="exact"/>
              <w:ind w:left="0" w:leftChars="-48" w:right="-42" w:rightChars="-15" w:hanging="134" w:hangingChars="64"/>
              <w:jc w:val="center"/>
              <w:textAlignment w:val="auto"/>
              <w:rPr>
                <w:rFonts w:hint="eastAsia" w:hAnsi="宋体"/>
                <w:sz w:val="21"/>
                <w:szCs w:val="21"/>
                <w:highlight w:val="none"/>
              </w:rPr>
            </w:pPr>
            <w:r>
              <w:rPr>
                <w:rFonts w:hint="eastAsia" w:hAnsi="宋体"/>
                <w:sz w:val="21"/>
                <w:szCs w:val="21"/>
                <w:highlight w:val="none"/>
              </w:rPr>
              <w:t>分</w:t>
            </w:r>
          </w:p>
        </w:tc>
        <w:tc>
          <w:tcPr>
            <w:tcW w:w="5716" w:type="dxa"/>
            <w:noWrap w:val="0"/>
            <w:vAlign w:val="center"/>
          </w:tcPr>
          <w:p>
            <w:pPr>
              <w:pStyle w:val="23"/>
              <w:keepNext w:val="0"/>
              <w:keepLines w:val="0"/>
              <w:pageBreakBefore w:val="0"/>
              <w:widowControl w:val="0"/>
              <w:kinsoku/>
              <w:wordWrap/>
              <w:overflowPunct/>
              <w:topLinePunct w:val="0"/>
              <w:bidi w:val="0"/>
              <w:snapToGrid w:val="0"/>
              <w:spacing w:line="320" w:lineRule="exact"/>
              <w:textAlignment w:val="auto"/>
              <w:rPr>
                <w:rFonts w:hint="default" w:hAnsi="宋体" w:eastAsia="宋体" w:cs="Times New Roman"/>
                <w:color w:val="auto"/>
                <w:kern w:val="2"/>
                <w:sz w:val="21"/>
                <w:szCs w:val="21"/>
                <w:highlight w:val="none"/>
                <w:lang w:val="en-US" w:eastAsia="zh-CN"/>
              </w:rPr>
            </w:pPr>
            <w:r>
              <w:rPr>
                <w:rFonts w:hint="eastAsia" w:hAnsi="宋体" w:cs="Times New Roman"/>
                <w:color w:val="auto"/>
                <w:kern w:val="2"/>
                <w:sz w:val="21"/>
                <w:szCs w:val="21"/>
                <w:highlight w:val="none"/>
                <w:lang w:val="en-US" w:eastAsia="zh-CN"/>
              </w:rPr>
              <w:t>1、满足资格审查条件（主要人员最低要求）得12分，</w:t>
            </w:r>
          </w:p>
          <w:p>
            <w:pPr>
              <w:pStyle w:val="23"/>
              <w:keepNext w:val="0"/>
              <w:keepLines w:val="0"/>
              <w:pageBreakBefore w:val="0"/>
              <w:widowControl w:val="0"/>
              <w:kinsoku/>
              <w:wordWrap/>
              <w:overflowPunct/>
              <w:topLinePunct w:val="0"/>
              <w:bidi w:val="0"/>
              <w:snapToGrid w:val="0"/>
              <w:spacing w:line="320" w:lineRule="exact"/>
              <w:textAlignment w:val="auto"/>
              <w:rPr>
                <w:rFonts w:hint="eastAsia" w:hAnsi="宋体" w:cs="Times New Roman"/>
                <w:color w:val="auto"/>
                <w:kern w:val="2"/>
                <w:sz w:val="21"/>
                <w:szCs w:val="21"/>
                <w:highlight w:val="none"/>
              </w:rPr>
            </w:pPr>
            <w:r>
              <w:rPr>
                <w:rFonts w:hint="eastAsia" w:hAnsi="宋体" w:cs="Times New Roman"/>
                <w:color w:val="auto"/>
                <w:kern w:val="2"/>
                <w:sz w:val="21"/>
                <w:szCs w:val="21"/>
                <w:highlight w:val="none"/>
                <w:lang w:val="en-US" w:eastAsia="zh-CN"/>
              </w:rPr>
              <w:t>2</w:t>
            </w:r>
            <w:r>
              <w:rPr>
                <w:rFonts w:hint="eastAsia" w:hAnsi="宋体" w:cs="Times New Roman"/>
                <w:color w:val="auto"/>
                <w:kern w:val="2"/>
                <w:sz w:val="21"/>
                <w:szCs w:val="21"/>
                <w:highlight w:val="none"/>
              </w:rPr>
              <w:t>、项目</w:t>
            </w:r>
            <w:r>
              <w:rPr>
                <w:rFonts w:hint="eastAsia" w:hAnsi="宋体" w:cs="Times New Roman"/>
                <w:color w:val="auto"/>
                <w:kern w:val="2"/>
                <w:sz w:val="21"/>
                <w:szCs w:val="21"/>
                <w:highlight w:val="none"/>
                <w:lang w:val="en-US" w:eastAsia="zh-CN"/>
              </w:rPr>
              <w:t>负责人每担任过</w:t>
            </w:r>
            <w:r>
              <w:rPr>
                <w:rFonts w:hint="eastAsia" w:ascii="宋体" w:hAnsi="宋体"/>
                <w:kern w:val="0"/>
                <w:sz w:val="21"/>
                <w:szCs w:val="21"/>
                <w:highlight w:val="none"/>
              </w:rPr>
              <w:t>1项</w:t>
            </w:r>
            <w:r>
              <w:rPr>
                <w:rFonts w:hint="eastAsia" w:ascii="宋体" w:hAnsi="宋体"/>
                <w:kern w:val="0"/>
                <w:sz w:val="21"/>
                <w:szCs w:val="21"/>
                <w:highlight w:val="none"/>
                <w:lang w:val="en-US" w:eastAsia="zh-CN"/>
              </w:rPr>
              <w:t>软件产品的</w:t>
            </w:r>
            <w:r>
              <w:rPr>
                <w:rFonts w:hint="eastAsia" w:ascii="宋体" w:hAnsi="宋体"/>
                <w:kern w:val="0"/>
                <w:sz w:val="21"/>
                <w:szCs w:val="21"/>
                <w:highlight w:val="none"/>
                <w:lang w:eastAsia="zh-CN"/>
              </w:rPr>
              <w:t>软件测试</w:t>
            </w:r>
            <w:r>
              <w:rPr>
                <w:rFonts w:hint="eastAsia" w:ascii="宋体" w:hAnsi="宋体"/>
                <w:kern w:val="0"/>
                <w:sz w:val="21"/>
                <w:szCs w:val="21"/>
                <w:highlight w:val="none"/>
              </w:rPr>
              <w:t>项目</w:t>
            </w:r>
            <w:r>
              <w:rPr>
                <w:rFonts w:hint="eastAsia" w:ascii="宋体" w:hAnsi="宋体"/>
                <w:kern w:val="0"/>
                <w:sz w:val="21"/>
                <w:szCs w:val="21"/>
                <w:highlight w:val="none"/>
                <w:lang w:val="en-US" w:eastAsia="zh-CN"/>
              </w:rPr>
              <w:t>的项目负责人</w:t>
            </w:r>
            <w:r>
              <w:rPr>
                <w:rFonts w:hint="eastAsia" w:hAnsi="宋体" w:cs="Times New Roman"/>
                <w:color w:val="auto"/>
                <w:kern w:val="2"/>
                <w:sz w:val="21"/>
                <w:szCs w:val="21"/>
                <w:highlight w:val="none"/>
              </w:rPr>
              <w:t>，</w:t>
            </w:r>
            <w:r>
              <w:rPr>
                <w:rFonts w:hint="eastAsia" w:hAnsi="宋体" w:cs="Times New Roman"/>
                <w:color w:val="auto"/>
                <w:kern w:val="2"/>
                <w:sz w:val="21"/>
                <w:szCs w:val="21"/>
                <w:highlight w:val="none"/>
                <w:lang w:val="en-US" w:eastAsia="zh-CN"/>
              </w:rPr>
              <w:t>加4</w:t>
            </w:r>
            <w:r>
              <w:rPr>
                <w:rFonts w:hint="eastAsia" w:hAnsi="宋体" w:cs="Times New Roman"/>
                <w:color w:val="auto"/>
                <w:kern w:val="2"/>
                <w:sz w:val="21"/>
                <w:szCs w:val="21"/>
                <w:highlight w:val="none"/>
              </w:rPr>
              <w:t>分，</w:t>
            </w:r>
            <w:r>
              <w:rPr>
                <w:rFonts w:hint="eastAsia" w:hAnsi="宋体" w:cs="Times New Roman"/>
                <w:color w:val="auto"/>
                <w:kern w:val="2"/>
                <w:sz w:val="21"/>
                <w:szCs w:val="21"/>
                <w:highlight w:val="none"/>
                <w:lang w:val="en-US" w:eastAsia="zh-CN"/>
              </w:rPr>
              <w:t>本项最多加8分</w:t>
            </w:r>
            <w:r>
              <w:rPr>
                <w:rFonts w:hint="eastAsia" w:hAnsi="宋体" w:cs="Times New Roman"/>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2.2.4（3）</w:t>
            </w:r>
          </w:p>
        </w:tc>
        <w:tc>
          <w:tcPr>
            <w:tcW w:w="741" w:type="dxa"/>
            <w:tcBorders>
              <w:top w:val="nil"/>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评标价</w:t>
            </w:r>
          </w:p>
        </w:tc>
        <w:tc>
          <w:tcPr>
            <w:tcW w:w="624" w:type="dxa"/>
            <w:tcBorders>
              <w:top w:val="nil"/>
              <w:bottom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10分</w:t>
            </w:r>
          </w:p>
        </w:tc>
        <w:tc>
          <w:tcPr>
            <w:tcW w:w="7546" w:type="dxa"/>
            <w:gridSpan w:val="3"/>
            <w:tcBorders>
              <w:bottom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textAlignment w:val="auto"/>
              <w:rPr>
                <w:rFonts w:ascii="宋体" w:hAnsi="宋体"/>
                <w:kern w:val="2"/>
                <w:sz w:val="21"/>
                <w:szCs w:val="21"/>
                <w:highlight w:val="none"/>
              </w:rPr>
            </w:pPr>
            <w:r>
              <w:rPr>
                <w:rFonts w:hint="eastAsia" w:ascii="宋体" w:hAnsi="宋体"/>
                <w:kern w:val="2"/>
                <w:sz w:val="21"/>
                <w:szCs w:val="21"/>
                <w:highlight w:val="none"/>
              </w:rPr>
              <w:t>评标价得分计算公式示例：</w:t>
            </w:r>
          </w:p>
          <w:p>
            <w:pPr>
              <w:keepNext w:val="0"/>
              <w:keepLines w:val="0"/>
              <w:pageBreakBefore w:val="0"/>
              <w:widowControl w:val="0"/>
              <w:kinsoku/>
              <w:wordWrap/>
              <w:overflowPunct/>
              <w:topLinePunct w:val="0"/>
              <w:bidi w:val="0"/>
              <w:snapToGrid w:val="0"/>
              <w:spacing w:line="320" w:lineRule="exact"/>
              <w:textAlignment w:val="auto"/>
              <w:rPr>
                <w:rFonts w:ascii="宋体" w:hAnsi="宋体"/>
                <w:kern w:val="2"/>
                <w:sz w:val="21"/>
                <w:szCs w:val="21"/>
                <w:highlight w:val="none"/>
              </w:rPr>
            </w:pPr>
            <w:r>
              <w:rPr>
                <w:rFonts w:hint="eastAsia" w:ascii="宋体" w:hAnsi="宋体"/>
                <w:kern w:val="2"/>
                <w:sz w:val="21"/>
                <w:szCs w:val="21"/>
                <w:highlight w:val="none"/>
              </w:rPr>
              <w:t>（1）如果投标人的评标价＞评标基准价，则评标价得分=F-（投标人评标价-评标基准价）/评标基准价×100×E1；</w:t>
            </w:r>
          </w:p>
          <w:p>
            <w:pPr>
              <w:keepNext w:val="0"/>
              <w:keepLines w:val="0"/>
              <w:pageBreakBefore w:val="0"/>
              <w:widowControl w:val="0"/>
              <w:kinsoku/>
              <w:wordWrap/>
              <w:overflowPunct/>
              <w:topLinePunct w:val="0"/>
              <w:bidi w:val="0"/>
              <w:snapToGrid w:val="0"/>
              <w:spacing w:line="320" w:lineRule="exact"/>
              <w:textAlignment w:val="auto"/>
              <w:rPr>
                <w:rFonts w:ascii="宋体" w:hAnsi="宋体"/>
                <w:kern w:val="2"/>
                <w:sz w:val="21"/>
                <w:szCs w:val="21"/>
                <w:highlight w:val="none"/>
              </w:rPr>
            </w:pPr>
            <w:r>
              <w:rPr>
                <w:rFonts w:hint="eastAsia" w:ascii="宋体" w:hAnsi="宋体"/>
                <w:kern w:val="2"/>
                <w:sz w:val="21"/>
                <w:szCs w:val="21"/>
                <w:highlight w:val="none"/>
              </w:rPr>
              <w:t>（2）如果投标人的评标价≤评标基准价，则评标价得分=F+(投标人评标价-评标基准价)/评标基准价×100×E2。</w:t>
            </w:r>
          </w:p>
          <w:p>
            <w:pPr>
              <w:keepNext w:val="0"/>
              <w:keepLines w:val="0"/>
              <w:pageBreakBefore w:val="0"/>
              <w:widowControl w:val="0"/>
              <w:kinsoku/>
              <w:wordWrap/>
              <w:overflowPunct/>
              <w:topLinePunct w:val="0"/>
              <w:bidi w:val="0"/>
              <w:snapToGrid w:val="0"/>
              <w:spacing w:line="320" w:lineRule="exact"/>
              <w:jc w:val="left"/>
              <w:textAlignment w:val="auto"/>
              <w:rPr>
                <w:rFonts w:ascii="宋体" w:hAnsi="宋体"/>
                <w:sz w:val="21"/>
                <w:szCs w:val="21"/>
                <w:highlight w:val="none"/>
              </w:rPr>
            </w:pPr>
            <w:r>
              <w:rPr>
                <w:rFonts w:hint="eastAsia" w:ascii="宋体" w:hAnsi="宋体"/>
                <w:sz w:val="21"/>
                <w:szCs w:val="21"/>
                <w:highlight w:val="none"/>
              </w:rPr>
              <w:t>其中，F=10；E1=0.2；E2=0.1；评标价最低得分为0分。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kern w:val="2"/>
                <w:sz w:val="21"/>
                <w:szCs w:val="21"/>
                <w:highlight w:val="none"/>
              </w:rPr>
            </w:pPr>
            <w:r>
              <w:rPr>
                <w:rFonts w:hint="eastAsia" w:ascii="宋体" w:hAnsi="宋体" w:eastAsia="宋体" w:cs="宋体"/>
                <w:sz w:val="21"/>
                <w:szCs w:val="21"/>
                <w:highlight w:val="none"/>
              </w:rPr>
              <w:t>评标价得分分值计算保留小数点后两位，小数点后第三位“四舍五入”</w:t>
            </w:r>
            <w:r>
              <w:rPr>
                <w:rFonts w:hint="eastAsia" w:ascii="宋体" w:hAnsi="宋体"/>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41" w:type="dxa"/>
            <w:vMerge w:val="restart"/>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2.2.4（4）</w:t>
            </w:r>
          </w:p>
        </w:tc>
        <w:tc>
          <w:tcPr>
            <w:tcW w:w="741" w:type="dxa"/>
            <w:vMerge w:val="restart"/>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其他因素</w:t>
            </w:r>
          </w:p>
        </w:tc>
        <w:tc>
          <w:tcPr>
            <w:tcW w:w="624" w:type="dxa"/>
            <w:vMerge w:val="restart"/>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Ansi="宋体"/>
                <w:sz w:val="21"/>
                <w:szCs w:val="21"/>
                <w:highlight w:val="none"/>
              </w:rPr>
              <w:t>30</w:t>
            </w:r>
            <w:r>
              <w:rPr>
                <w:rFonts w:hint="eastAsia" w:hAnsi="宋体"/>
                <w:sz w:val="21"/>
                <w:szCs w:val="21"/>
                <w:highlight w:val="none"/>
              </w:rPr>
              <w:t>分</w:t>
            </w:r>
          </w:p>
        </w:tc>
        <w:tc>
          <w:tcPr>
            <w:tcW w:w="1134" w:type="dxa"/>
            <w:tcBorders>
              <w:top w:val="single" w:color="auto" w:sz="4" w:space="0"/>
              <w:bottom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业绩</w:t>
            </w:r>
          </w:p>
        </w:tc>
        <w:tc>
          <w:tcPr>
            <w:tcW w:w="696" w:type="dxa"/>
            <w:tcBorders>
              <w:top w:val="single" w:color="auto" w:sz="4" w:space="0"/>
              <w:bottom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lang w:val="en-US" w:eastAsia="zh-CN"/>
              </w:rPr>
              <w:t>15</w:t>
            </w:r>
            <w:r>
              <w:rPr>
                <w:rFonts w:hint="eastAsia" w:hAnsi="宋体"/>
                <w:sz w:val="21"/>
                <w:szCs w:val="21"/>
                <w:highlight w:val="none"/>
              </w:rPr>
              <w:t>分</w:t>
            </w:r>
          </w:p>
        </w:tc>
        <w:tc>
          <w:tcPr>
            <w:tcW w:w="571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textAlignment w:val="auto"/>
              <w:rPr>
                <w:rFonts w:ascii="宋体" w:hAnsi="宋体"/>
                <w:kern w:val="2"/>
                <w:sz w:val="21"/>
                <w:szCs w:val="21"/>
                <w:highlight w:val="none"/>
              </w:rPr>
            </w:pPr>
            <w:r>
              <w:rPr>
                <w:rFonts w:hint="eastAsia" w:ascii="宋体" w:hAnsi="宋体"/>
                <w:kern w:val="2"/>
                <w:sz w:val="21"/>
                <w:szCs w:val="21"/>
                <w:highlight w:val="none"/>
                <w:lang w:val="en-US" w:eastAsia="zh-CN"/>
              </w:rPr>
              <w:t>1、</w:t>
            </w:r>
            <w:r>
              <w:rPr>
                <w:rFonts w:hint="eastAsia" w:ascii="宋体" w:hAnsi="宋体"/>
                <w:kern w:val="2"/>
                <w:sz w:val="21"/>
                <w:szCs w:val="21"/>
                <w:highlight w:val="none"/>
              </w:rPr>
              <w:t>满足资格审查条件（业绩最低要求）得</w:t>
            </w:r>
            <w:r>
              <w:rPr>
                <w:rFonts w:hint="eastAsia" w:ascii="宋体" w:hAnsi="宋体"/>
                <w:kern w:val="2"/>
                <w:sz w:val="21"/>
                <w:szCs w:val="21"/>
                <w:highlight w:val="none"/>
                <w:lang w:val="en-US" w:eastAsia="zh-CN"/>
              </w:rPr>
              <w:t>9</w:t>
            </w:r>
            <w:r>
              <w:rPr>
                <w:rFonts w:hint="eastAsia" w:ascii="宋体" w:hAnsi="宋体"/>
                <w:kern w:val="2"/>
                <w:sz w:val="21"/>
                <w:szCs w:val="21"/>
                <w:highlight w:val="none"/>
              </w:rPr>
              <w:t>分；</w:t>
            </w:r>
          </w:p>
          <w:p>
            <w:pPr>
              <w:keepNext w:val="0"/>
              <w:keepLines w:val="0"/>
              <w:pageBreakBefore w:val="0"/>
              <w:widowControl w:val="0"/>
              <w:kinsoku/>
              <w:wordWrap/>
              <w:overflowPunct/>
              <w:topLinePunct w:val="0"/>
              <w:bidi w:val="0"/>
              <w:snapToGrid w:val="0"/>
              <w:spacing w:line="320" w:lineRule="exact"/>
              <w:textAlignment w:val="auto"/>
              <w:rPr>
                <w:rFonts w:hint="eastAsia" w:ascii="宋体" w:hAnsi="宋体"/>
                <w:kern w:val="2"/>
                <w:sz w:val="21"/>
                <w:szCs w:val="21"/>
                <w:highlight w:val="none"/>
              </w:rPr>
            </w:pPr>
            <w:r>
              <w:rPr>
                <w:rFonts w:hint="eastAsia" w:ascii="宋体" w:hAnsi="宋体"/>
                <w:kern w:val="2"/>
                <w:sz w:val="21"/>
                <w:szCs w:val="21"/>
                <w:highlight w:val="none"/>
                <w:lang w:val="en-US" w:eastAsia="zh-CN"/>
              </w:rPr>
              <w:t>2、每增加一项满足</w:t>
            </w:r>
            <w:r>
              <w:rPr>
                <w:rFonts w:hint="eastAsia" w:ascii="宋体" w:hAnsi="宋体"/>
                <w:kern w:val="2"/>
                <w:sz w:val="21"/>
                <w:szCs w:val="21"/>
                <w:highlight w:val="none"/>
              </w:rPr>
              <w:t>资格审查条件（业绩最低要求）的业绩</w:t>
            </w:r>
            <w:r>
              <w:rPr>
                <w:rFonts w:hint="eastAsia" w:ascii="宋体" w:hAnsi="宋体"/>
                <w:kern w:val="2"/>
                <w:sz w:val="21"/>
                <w:szCs w:val="21"/>
                <w:highlight w:val="none"/>
                <w:lang w:val="en-US" w:eastAsia="zh-CN"/>
              </w:rPr>
              <w:t>加3</w:t>
            </w:r>
            <w:r>
              <w:rPr>
                <w:rFonts w:hint="eastAsia" w:ascii="宋体" w:hAnsi="宋体"/>
                <w:kern w:val="2"/>
                <w:sz w:val="21"/>
                <w:szCs w:val="21"/>
                <w:highlight w:val="none"/>
              </w:rPr>
              <w:t>分,本项最多得</w:t>
            </w:r>
            <w:r>
              <w:rPr>
                <w:rFonts w:hint="eastAsia" w:ascii="宋体" w:hAnsi="宋体"/>
                <w:kern w:val="2"/>
                <w:sz w:val="21"/>
                <w:szCs w:val="21"/>
                <w:highlight w:val="none"/>
                <w:lang w:val="en-US" w:eastAsia="zh-CN"/>
              </w:rPr>
              <w:t>6</w:t>
            </w:r>
            <w:r>
              <w:rPr>
                <w:rFonts w:hint="eastAsia" w:ascii="宋体" w:hAnsi="宋体"/>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741" w:type="dxa"/>
            <w:vMerge w:val="continue"/>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624" w:type="dxa"/>
            <w:vMerge w:val="continue"/>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1134" w:type="dxa"/>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r>
              <w:rPr>
                <w:rFonts w:hint="eastAsia" w:hAnsi="宋体"/>
                <w:sz w:val="21"/>
                <w:szCs w:val="21"/>
                <w:highlight w:val="none"/>
              </w:rPr>
              <w:t>综合实力</w:t>
            </w:r>
          </w:p>
        </w:tc>
        <w:tc>
          <w:tcPr>
            <w:tcW w:w="696" w:type="dxa"/>
            <w:tcBorders>
              <w:top w:val="single" w:color="auto" w:sz="4" w:space="0"/>
            </w:tcBorders>
            <w:noWrap w:val="0"/>
            <w:vAlign w:val="center"/>
          </w:tcPr>
          <w:p>
            <w:pPr>
              <w:pStyle w:val="5"/>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lang w:val="en-US" w:eastAsia="zh-CN"/>
              </w:rPr>
              <w:t>15</w:t>
            </w:r>
            <w:r>
              <w:rPr>
                <w:rFonts w:hint="eastAsia" w:hAnsi="宋体"/>
                <w:sz w:val="21"/>
                <w:szCs w:val="21"/>
                <w:highlight w:val="none"/>
              </w:rPr>
              <w:t>分</w:t>
            </w:r>
          </w:p>
        </w:tc>
        <w:tc>
          <w:tcPr>
            <w:tcW w:w="5716" w:type="dxa"/>
            <w:tcBorders>
              <w:top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textAlignment w:val="auto"/>
              <w:rPr>
                <w:rFonts w:hint="eastAsia" w:ascii="宋体" w:hAnsi="宋体"/>
                <w:kern w:val="2"/>
                <w:sz w:val="21"/>
                <w:szCs w:val="21"/>
                <w:highlight w:val="none"/>
              </w:rPr>
            </w:pPr>
            <w:r>
              <w:rPr>
                <w:rFonts w:hint="eastAsia" w:ascii="宋体" w:hAnsi="宋体"/>
                <w:kern w:val="2"/>
                <w:sz w:val="21"/>
                <w:szCs w:val="21"/>
                <w:highlight w:val="none"/>
              </w:rPr>
              <w:t>1、</w:t>
            </w:r>
            <w:r>
              <w:rPr>
                <w:rFonts w:hint="eastAsia" w:ascii="宋体" w:hAnsi="宋体"/>
                <w:kern w:val="2"/>
                <w:sz w:val="21"/>
                <w:szCs w:val="21"/>
                <w:highlight w:val="none"/>
              </w:rPr>
              <w:tab/>
            </w:r>
            <w:r>
              <w:rPr>
                <w:rFonts w:hint="eastAsia" w:ascii="宋体" w:hAnsi="宋体"/>
                <w:kern w:val="2"/>
                <w:sz w:val="21"/>
                <w:szCs w:val="21"/>
                <w:highlight w:val="none"/>
              </w:rPr>
              <w:t>投标人具备ISO9001质量管理体系认证证书，得</w:t>
            </w:r>
            <w:r>
              <w:rPr>
                <w:rFonts w:hint="eastAsia" w:ascii="宋体" w:hAnsi="宋体"/>
                <w:kern w:val="2"/>
                <w:sz w:val="21"/>
                <w:szCs w:val="21"/>
                <w:highlight w:val="none"/>
                <w:lang w:val="en-US" w:eastAsia="zh-CN"/>
              </w:rPr>
              <w:t>4</w:t>
            </w:r>
            <w:r>
              <w:rPr>
                <w:rFonts w:hint="eastAsia" w:ascii="宋体" w:hAnsi="宋体"/>
                <w:kern w:val="2"/>
                <w:sz w:val="21"/>
                <w:szCs w:val="21"/>
                <w:highlight w:val="none"/>
              </w:rPr>
              <w:t>分；</w:t>
            </w:r>
          </w:p>
          <w:p>
            <w:pPr>
              <w:keepNext w:val="0"/>
              <w:keepLines w:val="0"/>
              <w:widowControl w:val="0"/>
              <w:suppressLineNumbers w:val="0"/>
              <w:snapToGrid w:val="0"/>
              <w:spacing w:line="320" w:lineRule="exact"/>
              <w:jc w:val="left"/>
              <w:rPr>
                <w:rFonts w:hint="eastAsia" w:ascii="宋体" w:hAnsi="宋体" w:eastAsia="宋体" w:cs="Times New Roman"/>
                <w:kern w:val="2"/>
                <w:sz w:val="21"/>
                <w:szCs w:val="21"/>
                <w:highlight w:val="none"/>
              </w:rPr>
            </w:pPr>
            <w:r>
              <w:rPr>
                <w:rFonts w:hint="eastAsia" w:ascii="宋体" w:hAnsi="宋体"/>
                <w:kern w:val="2"/>
                <w:sz w:val="21"/>
                <w:szCs w:val="21"/>
                <w:highlight w:val="none"/>
              </w:rPr>
              <w:t>2、</w:t>
            </w:r>
            <w:r>
              <w:rPr>
                <w:rFonts w:hint="eastAsia" w:ascii="宋体" w:hAnsi="宋体"/>
                <w:kern w:val="2"/>
                <w:sz w:val="21"/>
                <w:szCs w:val="21"/>
                <w:highlight w:val="none"/>
              </w:rPr>
              <w:tab/>
            </w:r>
            <w:r>
              <w:rPr>
                <w:rFonts w:hint="eastAsia" w:ascii="宋体" w:hAnsi="宋体" w:eastAsia="宋体" w:cs="Times New Roman"/>
                <w:kern w:val="2"/>
                <w:sz w:val="21"/>
                <w:szCs w:val="21"/>
                <w:highlight w:val="none"/>
              </w:rPr>
              <w:t>投标人</w:t>
            </w:r>
            <w:r>
              <w:rPr>
                <w:rFonts w:hint="eastAsia" w:ascii="宋体" w:hAnsi="宋体"/>
                <w:sz w:val="21"/>
                <w:szCs w:val="21"/>
                <w:highlight w:val="none"/>
              </w:rPr>
              <w:t>具备中国合格评定国家认可委员会颁发的实验室认可证书（CNAS）或检验检测机构资质认定证书（CMA）</w:t>
            </w:r>
            <w:r>
              <w:rPr>
                <w:rFonts w:hint="eastAsia" w:ascii="宋体" w:hAnsi="宋体"/>
                <w:sz w:val="21"/>
                <w:szCs w:val="21"/>
                <w:highlight w:val="none"/>
                <w:lang w:eastAsia="zh-CN"/>
              </w:rPr>
              <w:t>，</w:t>
            </w:r>
            <w:r>
              <w:rPr>
                <w:rFonts w:hint="eastAsia" w:ascii="宋体" w:hAnsi="宋体"/>
                <w:sz w:val="21"/>
                <w:szCs w:val="21"/>
                <w:highlight w:val="none"/>
                <w:lang w:val="en-US" w:eastAsia="zh-CN"/>
              </w:rPr>
              <w:t>得2分，</w:t>
            </w:r>
            <w:r>
              <w:rPr>
                <w:rFonts w:hint="eastAsia" w:ascii="宋体" w:hAnsi="宋体" w:eastAsia="宋体" w:cs="Times New Roman"/>
                <w:color w:val="000000"/>
                <w:kern w:val="2"/>
                <w:sz w:val="21"/>
                <w:szCs w:val="21"/>
                <w:highlight w:val="none"/>
                <w:lang w:val="en-US" w:eastAsia="zh-CN" w:bidi="ar"/>
              </w:rPr>
              <w:t>CMA或CNAS 证书的附件中，完全覆盖GB/T25000.51-2016《系统与软件工程系统与软件质量要求和评价(SQuaRE)第 51 部分：就绪 可用软件产品(RUSP)的质量要求和测试细则》全部10个质量特性</w:t>
            </w:r>
            <w:r>
              <w:rPr>
                <w:rFonts w:hint="eastAsia" w:ascii="宋体" w:hAnsi="宋体" w:eastAsia="宋体" w:cs="Times New Roman"/>
                <w:b w:val="0"/>
                <w:bCs w:val="0"/>
                <w:color w:val="000000"/>
                <w:kern w:val="2"/>
                <w:sz w:val="21"/>
                <w:szCs w:val="21"/>
                <w:highlight w:val="none"/>
                <w:lang w:val="en-US" w:eastAsia="zh-CN" w:bidi="ar"/>
              </w:rPr>
              <w:t>并提供证书附表</w:t>
            </w:r>
            <w:r>
              <w:rPr>
                <w:rFonts w:hint="eastAsia" w:ascii="宋体" w:hAnsi="宋体" w:eastAsia="宋体" w:cs="Times New Roman"/>
                <w:color w:val="000000"/>
                <w:kern w:val="2"/>
                <w:sz w:val="21"/>
                <w:szCs w:val="21"/>
                <w:highlight w:val="none"/>
                <w:lang w:val="en-US" w:eastAsia="zh-CN" w:bidi="ar"/>
              </w:rPr>
              <w:t>，</w:t>
            </w:r>
            <w:r>
              <w:rPr>
                <w:rFonts w:hint="eastAsia" w:ascii="宋体" w:hAnsi="宋体" w:eastAsia="宋体" w:cs="Times New Roman"/>
                <w:kern w:val="2"/>
                <w:sz w:val="21"/>
                <w:szCs w:val="21"/>
                <w:highlight w:val="none"/>
              </w:rPr>
              <w:t>得</w:t>
            </w:r>
            <w:r>
              <w:rPr>
                <w:rFonts w:hint="eastAsia" w:ascii="宋体" w:hAnsi="宋体" w:eastAsia="宋体" w:cs="Times New Roman"/>
                <w:kern w:val="2"/>
                <w:sz w:val="21"/>
                <w:szCs w:val="21"/>
                <w:highlight w:val="none"/>
                <w:lang w:val="en-US" w:eastAsia="zh-CN"/>
              </w:rPr>
              <w:t>2</w:t>
            </w:r>
            <w:r>
              <w:rPr>
                <w:rFonts w:hint="eastAsia" w:ascii="宋体" w:hAnsi="宋体" w:eastAsia="宋体" w:cs="Times New Roman"/>
                <w:kern w:val="2"/>
                <w:sz w:val="21"/>
                <w:szCs w:val="21"/>
                <w:highlight w:val="none"/>
              </w:rPr>
              <w:t>分</w:t>
            </w:r>
            <w:r>
              <w:rPr>
                <w:rFonts w:hint="eastAsia"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lang w:val="en-US" w:eastAsia="zh-CN"/>
              </w:rPr>
              <w:t>本项最多得4分</w:t>
            </w:r>
            <w:r>
              <w:rPr>
                <w:rFonts w:hint="eastAsia" w:ascii="宋体" w:hAnsi="宋体" w:eastAsia="宋体" w:cs="Times New Roman"/>
                <w:kern w:val="2"/>
                <w:sz w:val="21"/>
                <w:szCs w:val="21"/>
                <w:highlight w:val="none"/>
              </w:rPr>
              <w:t>；</w:t>
            </w:r>
          </w:p>
          <w:p>
            <w:pPr>
              <w:keepNext w:val="0"/>
              <w:keepLines w:val="0"/>
              <w:pageBreakBefore w:val="0"/>
              <w:widowControl w:val="0"/>
              <w:kinsoku/>
              <w:wordWrap/>
              <w:overflowPunct/>
              <w:topLinePunct w:val="0"/>
              <w:bidi w:val="0"/>
              <w:snapToGrid w:val="0"/>
              <w:spacing w:line="320" w:lineRule="exact"/>
              <w:textAlignment w:val="auto"/>
              <w:rPr>
                <w:rFonts w:hint="eastAsia" w:ascii="宋体" w:hAnsi="宋体"/>
                <w:kern w:val="2"/>
                <w:sz w:val="21"/>
                <w:szCs w:val="21"/>
                <w:highlight w:val="none"/>
              </w:rPr>
            </w:pPr>
            <w:r>
              <w:rPr>
                <w:rFonts w:hint="eastAsia" w:ascii="宋体" w:hAnsi="宋体"/>
                <w:kern w:val="2"/>
                <w:sz w:val="21"/>
                <w:szCs w:val="21"/>
                <w:highlight w:val="none"/>
              </w:rPr>
              <w:t>3、</w:t>
            </w:r>
            <w:r>
              <w:rPr>
                <w:rFonts w:hint="eastAsia" w:ascii="宋体" w:hAnsi="宋体"/>
                <w:kern w:val="2"/>
                <w:sz w:val="21"/>
                <w:szCs w:val="21"/>
                <w:highlight w:val="none"/>
              </w:rPr>
              <w:tab/>
            </w:r>
            <w:r>
              <w:rPr>
                <w:rFonts w:hint="eastAsia" w:ascii="宋体" w:hAnsi="宋体"/>
                <w:kern w:val="2"/>
                <w:sz w:val="21"/>
                <w:szCs w:val="21"/>
                <w:highlight w:val="none"/>
              </w:rPr>
              <w:t>投标人具备</w:t>
            </w:r>
            <w:r>
              <w:rPr>
                <w:rFonts w:hint="eastAsia" w:ascii="宋体" w:hAnsi="宋体"/>
                <w:kern w:val="2"/>
                <w:sz w:val="21"/>
                <w:szCs w:val="21"/>
                <w:highlight w:val="none"/>
                <w:lang w:val="en-US" w:eastAsia="zh-CN"/>
              </w:rPr>
              <w:t>CCRC信息安全服务资质认证证书</w:t>
            </w:r>
            <w:r>
              <w:rPr>
                <w:rFonts w:hint="eastAsia" w:ascii="宋体" w:hAnsi="宋体"/>
                <w:kern w:val="2"/>
                <w:sz w:val="21"/>
                <w:szCs w:val="21"/>
                <w:highlight w:val="none"/>
              </w:rPr>
              <w:t>，得</w:t>
            </w:r>
            <w:r>
              <w:rPr>
                <w:rFonts w:hint="eastAsia" w:ascii="宋体" w:hAnsi="宋体"/>
                <w:kern w:val="2"/>
                <w:sz w:val="21"/>
                <w:szCs w:val="21"/>
                <w:highlight w:val="none"/>
                <w:lang w:val="en-US" w:eastAsia="zh-CN"/>
              </w:rPr>
              <w:t>4</w:t>
            </w:r>
            <w:r>
              <w:rPr>
                <w:rFonts w:hint="eastAsia" w:ascii="宋体" w:hAnsi="宋体"/>
                <w:kern w:val="2"/>
                <w:sz w:val="21"/>
                <w:szCs w:val="21"/>
                <w:highlight w:val="none"/>
              </w:rPr>
              <w:t>分；</w:t>
            </w:r>
          </w:p>
          <w:p>
            <w:pPr>
              <w:keepNext w:val="0"/>
              <w:keepLines w:val="0"/>
              <w:pageBreakBefore w:val="0"/>
              <w:widowControl w:val="0"/>
              <w:kinsoku/>
              <w:wordWrap/>
              <w:overflowPunct/>
              <w:topLinePunct w:val="0"/>
              <w:bidi w:val="0"/>
              <w:snapToGrid w:val="0"/>
              <w:spacing w:line="320" w:lineRule="exact"/>
              <w:textAlignment w:val="auto"/>
              <w:rPr>
                <w:rFonts w:hint="eastAsia" w:ascii="宋体" w:hAnsi="宋体"/>
                <w:kern w:val="2"/>
                <w:sz w:val="21"/>
                <w:szCs w:val="21"/>
                <w:highlight w:val="none"/>
              </w:rPr>
            </w:pPr>
            <w:r>
              <w:rPr>
                <w:rFonts w:hint="eastAsia" w:ascii="宋体" w:hAnsi="宋体"/>
                <w:kern w:val="2"/>
                <w:sz w:val="21"/>
                <w:szCs w:val="21"/>
                <w:highlight w:val="none"/>
              </w:rPr>
              <w:t>4、</w:t>
            </w:r>
            <w:r>
              <w:rPr>
                <w:rFonts w:hint="eastAsia" w:ascii="宋体" w:hAnsi="宋体"/>
                <w:kern w:val="2"/>
                <w:sz w:val="21"/>
                <w:szCs w:val="21"/>
                <w:highlight w:val="none"/>
              </w:rPr>
              <w:tab/>
            </w:r>
            <w:r>
              <w:rPr>
                <w:rFonts w:hint="eastAsia" w:ascii="宋体" w:hAnsi="宋体"/>
                <w:kern w:val="2"/>
                <w:sz w:val="21"/>
                <w:szCs w:val="21"/>
                <w:highlight w:val="none"/>
              </w:rPr>
              <w:t>投标人具备ISO/IEC27001信息安全管理体系认证证书，得</w:t>
            </w:r>
            <w:r>
              <w:rPr>
                <w:rFonts w:hint="eastAsia" w:ascii="宋体" w:hAnsi="宋体"/>
                <w:kern w:val="2"/>
                <w:sz w:val="21"/>
                <w:szCs w:val="21"/>
                <w:highlight w:val="none"/>
                <w:lang w:val="en-US" w:eastAsia="zh-CN"/>
              </w:rPr>
              <w:t>3</w:t>
            </w:r>
            <w:r>
              <w:rPr>
                <w:rFonts w:hint="eastAsia" w:ascii="宋体" w:hAnsi="宋体"/>
                <w:kern w:val="2"/>
                <w:sz w:val="21"/>
                <w:szCs w:val="21"/>
                <w:highlight w:val="none"/>
              </w:rPr>
              <w:t>分。</w:t>
            </w:r>
          </w:p>
        </w:tc>
      </w:tr>
      <w:bookmarkEnd w:id="30"/>
    </w:tbl>
    <w:p>
      <w:pPr>
        <w:pStyle w:val="5"/>
        <w:rPr>
          <w:rFonts w:hAnsi="宋体"/>
          <w:szCs w:val="21"/>
          <w:highlight w:val="none"/>
        </w:rPr>
      </w:pPr>
    </w:p>
    <w:p>
      <w:pPr>
        <w:pStyle w:val="5"/>
        <w:rPr>
          <w:rFonts w:hAnsi="宋体"/>
          <w:szCs w:val="21"/>
          <w:highlight w:val="none"/>
        </w:rPr>
      </w:pPr>
      <w:r>
        <w:rPr>
          <w:rFonts w:hint="eastAsia" w:hAnsi="宋体"/>
          <w:szCs w:val="21"/>
          <w:highlight w:val="none"/>
        </w:rPr>
        <w:t>注：1、</w:t>
      </w:r>
      <w:r>
        <w:rPr>
          <w:rFonts w:hAnsi="宋体"/>
          <w:highlight w:val="none"/>
        </w:rPr>
        <w:t>各评分因素得分应以评标委员会各成员的打分平均值确定</w:t>
      </w:r>
      <w:r>
        <w:rPr>
          <w:rFonts w:hint="eastAsia" w:ascii="宋体" w:hAnsi="宋体" w:cs="宋体"/>
          <w:color w:val="000000"/>
          <w:kern w:val="0"/>
          <w:szCs w:val="21"/>
          <w:highlight w:val="none"/>
          <w:lang w:bidi="ar"/>
        </w:rPr>
        <w:t>，保留两位小数，第三位四舍五入</w:t>
      </w:r>
      <w:r>
        <w:rPr>
          <w:rFonts w:hint="eastAsia" w:hAnsi="宋体"/>
          <w:szCs w:val="21"/>
          <w:highlight w:val="none"/>
        </w:rPr>
        <w:t>。</w:t>
      </w:r>
    </w:p>
    <w:p>
      <w:pPr>
        <w:pStyle w:val="5"/>
        <w:ind w:firstLine="428" w:firstLineChars="204"/>
        <w:rPr>
          <w:rFonts w:hAnsi="宋体"/>
          <w:highlight w:val="none"/>
        </w:rPr>
      </w:pPr>
      <w:r>
        <w:rPr>
          <w:rFonts w:hint="eastAsia" w:hAnsi="宋体"/>
          <w:highlight w:val="none"/>
        </w:rPr>
        <w:t>2、</w:t>
      </w:r>
      <w:r>
        <w:rPr>
          <w:rFonts w:hint="eastAsia" w:ascii="宋体" w:hAnsi="宋体" w:cs="宋体"/>
          <w:kern w:val="0"/>
          <w:szCs w:val="21"/>
          <w:highlight w:val="none"/>
        </w:rPr>
        <w:t>技术建议书</w:t>
      </w:r>
      <w:r>
        <w:rPr>
          <w:rFonts w:hint="eastAsia" w:ascii="宋体" w:hAnsi="宋体" w:cs="宋体"/>
          <w:color w:val="000000"/>
          <w:kern w:val="0"/>
          <w:szCs w:val="21"/>
          <w:highlight w:val="none"/>
          <w:lang w:bidi="ar"/>
        </w:rPr>
        <w:t>评分因素细分项存在缺项的，则该项计0分</w:t>
      </w:r>
      <w:r>
        <w:rPr>
          <w:rFonts w:hint="eastAsia" w:hAnsi="宋体"/>
          <w:highlight w:val="none"/>
        </w:rPr>
        <w:t>。</w:t>
      </w:r>
    </w:p>
    <w:bookmarkEnd w:id="1"/>
    <w:bookmarkEnd w:id="23"/>
    <w:bookmarkEnd w:id="24"/>
    <w:bookmarkEnd w:id="25"/>
    <w:bookmarkEnd w:id="26"/>
    <w:bookmarkEnd w:id="27"/>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12500C4E"/>
    <w:rsid w:val="45C1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5">
    <w:name w:val="Plain Text"/>
    <w:basedOn w:val="1"/>
    <w:qFormat/>
    <w:uiPriority w:val="0"/>
    <w:rPr>
      <w:rFonts w:ascii="宋体" w:hAnsi="Courier New"/>
      <w:kern w:val="2"/>
      <w:sz w:val="21"/>
    </w:rPr>
  </w:style>
  <w:style w:type="paragraph" w:styleId="6">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9">
    <w:name w:val="样式22"/>
    <w:basedOn w:val="10"/>
    <w:qFormat/>
    <w:uiPriority w:val="0"/>
    <w:pPr>
      <w:ind w:left="0" w:firstLine="200" w:firstLineChars="200"/>
    </w:pPr>
  </w:style>
  <w:style w:type="paragraph" w:customStyle="1" w:styleId="10">
    <w:name w:val="样式21"/>
    <w:basedOn w:val="4"/>
    <w:qFormat/>
    <w:uiPriority w:val="0"/>
    <w:pPr>
      <w:spacing w:before="0" w:after="0" w:line="360" w:lineRule="auto"/>
      <w:ind w:left="200" w:hanging="200" w:hangingChars="200"/>
    </w:pPr>
    <w:rPr>
      <w:sz w:val="24"/>
    </w:rPr>
  </w:style>
  <w:style w:type="paragraph" w:customStyle="1" w:styleId="11">
    <w:name w:val="样式23"/>
    <w:basedOn w:val="12"/>
    <w:qFormat/>
    <w:uiPriority w:val="0"/>
    <w:rPr>
      <w:sz w:val="24"/>
    </w:rPr>
  </w:style>
  <w:style w:type="paragraph" w:customStyle="1" w:styleId="12">
    <w:name w:val="样式17"/>
    <w:basedOn w:val="13"/>
    <w:qFormat/>
    <w:uiPriority w:val="0"/>
    <w:pPr>
      <w:ind w:firstLine="200" w:firstLineChars="200"/>
    </w:pPr>
  </w:style>
  <w:style w:type="paragraph" w:customStyle="1" w:styleId="13">
    <w:name w:val="样式16"/>
    <w:basedOn w:val="4"/>
    <w:qFormat/>
    <w:uiPriority w:val="0"/>
    <w:pPr>
      <w:spacing w:before="0" w:after="0" w:line="360" w:lineRule="auto"/>
    </w:pPr>
    <w:rPr>
      <w:sz w:val="28"/>
    </w:rPr>
  </w:style>
  <w:style w:type="paragraph" w:customStyle="1" w:styleId="14">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15">
    <w:name w:val="样式26"/>
    <w:basedOn w:val="16"/>
    <w:qFormat/>
    <w:uiPriority w:val="0"/>
    <w:pPr>
      <w:ind w:firstLine="562"/>
    </w:pPr>
    <w:rPr>
      <w:sz w:val="24"/>
    </w:rPr>
  </w:style>
  <w:style w:type="paragraph" w:customStyle="1" w:styleId="16">
    <w:name w:val="样式24"/>
    <w:basedOn w:val="4"/>
    <w:qFormat/>
    <w:uiPriority w:val="0"/>
    <w:pPr>
      <w:spacing w:before="0" w:after="0" w:line="360" w:lineRule="auto"/>
      <w:ind w:firstLine="200" w:firstLineChars="200"/>
    </w:pPr>
    <w:rPr>
      <w:sz w:val="28"/>
    </w:rPr>
  </w:style>
  <w:style w:type="paragraph" w:customStyle="1" w:styleId="17">
    <w:name w:val="样式25"/>
    <w:basedOn w:val="18"/>
    <w:qFormat/>
    <w:uiPriority w:val="0"/>
    <w:rPr>
      <w:sz w:val="24"/>
    </w:rPr>
  </w:style>
  <w:style w:type="paragraph" w:customStyle="1" w:styleId="18">
    <w:name w:val="样式20"/>
    <w:basedOn w:val="4"/>
    <w:qFormat/>
    <w:uiPriority w:val="0"/>
    <w:pPr>
      <w:spacing w:before="0" w:after="0" w:line="360" w:lineRule="auto"/>
      <w:ind w:firstLine="200" w:firstLineChars="200"/>
    </w:pPr>
  </w:style>
  <w:style w:type="paragraph" w:customStyle="1" w:styleId="19">
    <w:name w:val="样式27"/>
    <w:basedOn w:val="4"/>
    <w:qFormat/>
    <w:uiPriority w:val="0"/>
    <w:pPr>
      <w:spacing w:before="0" w:after="0" w:line="360" w:lineRule="auto"/>
      <w:ind w:firstLine="200" w:firstLineChars="200"/>
    </w:pPr>
    <w:rPr>
      <w:sz w:val="24"/>
    </w:rPr>
  </w:style>
  <w:style w:type="paragraph" w:customStyle="1" w:styleId="20">
    <w:name w:val="样式124"/>
    <w:basedOn w:val="4"/>
    <w:qFormat/>
    <w:uiPriority w:val="0"/>
    <w:pPr>
      <w:spacing w:before="0" w:after="0" w:line="360" w:lineRule="auto"/>
      <w:ind w:firstLine="200" w:firstLineChars="200"/>
    </w:pPr>
    <w:rPr>
      <w:sz w:val="24"/>
    </w:rPr>
  </w:style>
  <w:style w:type="paragraph" w:customStyle="1" w:styleId="21">
    <w:name w:val="样式30"/>
    <w:basedOn w:val="4"/>
    <w:qFormat/>
    <w:uiPriority w:val="0"/>
    <w:pPr>
      <w:spacing w:before="0" w:after="0" w:line="360" w:lineRule="auto"/>
      <w:ind w:firstLine="200" w:firstLineChars="200"/>
    </w:pPr>
    <w:rPr>
      <w:sz w:val="24"/>
    </w:rPr>
  </w:style>
  <w:style w:type="paragraph" w:customStyle="1" w:styleId="22">
    <w:name w:val="样式54"/>
    <w:basedOn w:val="3"/>
    <w:qFormat/>
    <w:uiPriority w:val="0"/>
    <w:pPr>
      <w:spacing w:before="0" w:after="0" w:line="360" w:lineRule="auto"/>
      <w:jc w:val="center"/>
    </w:pPr>
  </w:style>
  <w:style w:type="paragraph" w:customStyle="1" w:styleId="2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5695</Words>
  <Characters>6152</Characters>
  <Lines>0</Lines>
  <Paragraphs>0</Paragraphs>
  <TotalTime>0</TotalTime>
  <ScaleCrop>false</ScaleCrop>
  <LinksUpToDate>false</LinksUpToDate>
  <CharactersWithSpaces>6242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2023-03-29T00:57:00Z</dcterms:created>
  <dc:creator>Administrator</dc:creator>
  <cp:lastModifiedBy>李</cp:lastModifiedBy>
  <dcterms:modified xsi:type="dcterms:W3CDTF">2023-03-29T01:43:53Z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40EA54630D5E4A49BEEFE289B04C702C</vt:lpwstr>
  </property>
</Properties>
</file>