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b/>
          <w:color w:val="auto"/>
          <w:kern w:val="28"/>
          <w:sz w:val="24"/>
          <w:szCs w:val="20"/>
          <w:highlight w:val="none"/>
        </w:rPr>
      </w:pPr>
      <w:bookmarkStart w:id="0" w:name="_GoBack"/>
      <w:bookmarkEnd w:id="0"/>
      <w:r>
        <w:rPr>
          <w:rFonts w:hint="eastAsia" w:ascii="宋体" w:hAnsi="宋体"/>
          <w:b/>
          <w:color w:val="auto"/>
          <w:kern w:val="28"/>
          <w:sz w:val="24"/>
          <w:szCs w:val="20"/>
          <w:highlight w:val="none"/>
        </w:rPr>
        <w:t>附件</w:t>
      </w:r>
      <w:r>
        <w:rPr>
          <w:rFonts w:ascii="宋体" w:hAnsi="宋体"/>
          <w:b/>
          <w:color w:val="auto"/>
          <w:kern w:val="28"/>
          <w:sz w:val="24"/>
          <w:szCs w:val="20"/>
          <w:highlight w:val="none"/>
        </w:rPr>
        <w:t xml:space="preserve">1： </w:t>
      </w:r>
      <w:r>
        <w:rPr>
          <w:rFonts w:hint="eastAsia" w:ascii="宋体" w:hAnsi="宋体"/>
          <w:b/>
          <w:color w:val="auto"/>
          <w:kern w:val="28"/>
          <w:sz w:val="24"/>
          <w:szCs w:val="20"/>
          <w:highlight w:val="none"/>
        </w:rPr>
        <w:t>资格审查条件</w:t>
      </w:r>
    </w:p>
    <w:p>
      <w:pPr>
        <w:adjustRightInd w:val="0"/>
        <w:spacing w:line="400" w:lineRule="exact"/>
        <w:jc w:val="center"/>
        <w:rPr>
          <w:rFonts w:ascii="宋体" w:hAnsi="宋体"/>
          <w:b/>
          <w:color w:val="auto"/>
          <w:kern w:val="28"/>
          <w:sz w:val="24"/>
          <w:szCs w:val="24"/>
          <w:highlight w:val="none"/>
        </w:rPr>
      </w:pPr>
    </w:p>
    <w:p>
      <w:pPr>
        <w:spacing w:line="360" w:lineRule="auto"/>
        <w:jc w:val="center"/>
        <w:rPr>
          <w:rStyle w:val="8"/>
          <w:rFonts w:ascii="宋体" w:hAnsi="宋体" w:eastAsia="宋体"/>
          <w:b/>
          <w:color w:val="auto"/>
          <w:highlight w:val="none"/>
        </w:rPr>
      </w:pPr>
      <w:r>
        <w:rPr>
          <w:rStyle w:val="8"/>
          <w:rFonts w:hint="eastAsia" w:ascii="宋体" w:hAnsi="宋体" w:eastAsia="宋体"/>
          <w:b/>
          <w:color w:val="auto"/>
          <w:highlight w:val="none"/>
        </w:rPr>
        <w:t>附录1  资格审查条件（</w:t>
      </w:r>
      <w:r>
        <w:rPr>
          <w:rStyle w:val="8"/>
          <w:rFonts w:hint="eastAsia" w:ascii="宋体" w:hAnsi="宋体" w:eastAsia="宋体"/>
          <w:b/>
          <w:color w:val="auto"/>
          <w:highlight w:val="none"/>
          <w:lang w:val="en-US"/>
        </w:rPr>
        <w:t>资格</w:t>
      </w:r>
      <w:r>
        <w:rPr>
          <w:rStyle w:val="8"/>
          <w:rFonts w:hint="eastAsia" w:ascii="宋体" w:hAnsi="宋体" w:eastAsia="宋体"/>
          <w:b/>
          <w:color w:val="auto"/>
          <w:highlight w:val="none"/>
        </w:rPr>
        <w:t>最低条件）</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322" w:type="dxa"/>
            <w:tcBorders>
              <w:top w:val="single" w:color="auto" w:sz="2" w:space="0"/>
              <w:left w:val="single" w:color="auto" w:sz="2" w:space="0"/>
              <w:bottom w:val="single" w:color="auto" w:sz="6" w:space="0"/>
              <w:right w:val="single" w:color="auto" w:sz="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资 </w:t>
            </w:r>
            <w:r>
              <w:rPr>
                <w:rFonts w:hint="eastAsia" w:ascii="宋体" w:hAnsi="宋体"/>
                <w:color w:val="auto"/>
                <w:szCs w:val="21"/>
                <w:highlight w:val="none"/>
                <w:lang w:val="en-US" w:eastAsia="zh-CN"/>
              </w:rPr>
              <w:t>格</w:t>
            </w:r>
            <w:r>
              <w:rPr>
                <w:rFonts w:hint="eastAsia" w:ascii="宋体" w:hAnsi="宋体"/>
                <w:color w:val="auto"/>
                <w:szCs w:val="21"/>
                <w:highlight w:val="none"/>
              </w:rPr>
              <w:t xml:space="preserve">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322" w:type="dxa"/>
            <w:tcBorders>
              <w:top w:val="single" w:color="auto" w:sz="2" w:space="0"/>
              <w:left w:val="single" w:color="auto" w:sz="2" w:space="0"/>
              <w:bottom w:val="single" w:color="auto" w:sz="2" w:space="0"/>
              <w:right w:val="single" w:color="auto" w:sz="2" w:space="0"/>
            </w:tcBorders>
            <w:noWrap w:val="0"/>
            <w:vAlign w:val="center"/>
          </w:tcPr>
          <w:p>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投标人须具有独立</w:t>
            </w:r>
            <w:r>
              <w:rPr>
                <w:rFonts w:hint="eastAsia" w:ascii="宋体" w:hAnsi="宋体"/>
                <w:color w:val="auto"/>
                <w:szCs w:val="21"/>
                <w:highlight w:val="none"/>
                <w:lang w:val="en-US" w:eastAsia="zh-CN"/>
              </w:rPr>
              <w:t>企业</w:t>
            </w:r>
            <w:r>
              <w:rPr>
                <w:rFonts w:hint="eastAsia" w:ascii="宋体" w:hAnsi="宋体"/>
                <w:color w:val="auto"/>
                <w:szCs w:val="21"/>
                <w:highlight w:val="none"/>
              </w:rPr>
              <w:t>法人资格，持有有效的企业营业执照。</w:t>
            </w:r>
          </w:p>
        </w:tc>
      </w:tr>
    </w:tbl>
    <w:p>
      <w:pPr>
        <w:jc w:val="center"/>
        <w:rPr>
          <w:rStyle w:val="9"/>
          <w:rFonts w:hint="eastAsia" w:ascii="宋体" w:hAnsi="宋体" w:eastAsia="宋体"/>
          <w:b/>
          <w:color w:val="auto"/>
          <w:highlight w:val="none"/>
        </w:rPr>
      </w:pPr>
    </w:p>
    <w:p>
      <w:pPr>
        <w:spacing w:line="360" w:lineRule="auto"/>
        <w:jc w:val="center"/>
        <w:rPr>
          <w:rFonts w:hint="eastAsia" w:ascii="宋体" w:hAnsi="宋体"/>
          <w:b/>
          <w:color w:val="auto"/>
          <w:sz w:val="24"/>
          <w:highlight w:val="none"/>
        </w:rPr>
      </w:pPr>
    </w:p>
    <w:p>
      <w:pPr>
        <w:jc w:val="center"/>
        <w:rPr>
          <w:rStyle w:val="9"/>
          <w:rFonts w:ascii="宋体" w:hAnsi="宋体" w:eastAsia="宋体"/>
          <w:b/>
          <w:color w:val="auto"/>
          <w:sz w:val="18"/>
          <w:szCs w:val="18"/>
          <w:highlight w:val="none"/>
        </w:rPr>
      </w:pPr>
      <w:r>
        <w:rPr>
          <w:rStyle w:val="9"/>
          <w:rFonts w:hint="eastAsia" w:ascii="宋体" w:hAnsi="宋体" w:eastAsia="宋体"/>
          <w:b/>
          <w:color w:val="auto"/>
          <w:highlight w:val="none"/>
        </w:rPr>
        <w:t>附录2</w:t>
      </w:r>
      <w:r>
        <w:rPr>
          <w:rStyle w:val="9"/>
          <w:rFonts w:ascii="宋体" w:hAnsi="宋体" w:eastAsia="宋体"/>
          <w:b/>
          <w:color w:val="auto"/>
          <w:highlight w:val="none"/>
        </w:rPr>
        <w:t xml:space="preserve"> </w:t>
      </w:r>
      <w:r>
        <w:rPr>
          <w:rStyle w:val="9"/>
          <w:rFonts w:hint="eastAsia" w:ascii="宋体" w:hAnsi="宋体" w:eastAsia="宋体"/>
          <w:b/>
          <w:color w:val="auto"/>
          <w:highlight w:val="none"/>
        </w:rPr>
        <w:t xml:space="preserve"> 资格审查条件（</w:t>
      </w:r>
      <w:r>
        <w:rPr>
          <w:rFonts w:hint="eastAsia" w:ascii="宋体" w:hAnsi="宋体"/>
          <w:b/>
          <w:color w:val="auto"/>
          <w:sz w:val="24"/>
          <w:highlight w:val="none"/>
        </w:rPr>
        <w:t>业绩最低条件</w:t>
      </w:r>
      <w:r>
        <w:rPr>
          <w:rStyle w:val="9"/>
          <w:rFonts w:hint="eastAsia" w:ascii="宋体" w:hAnsi="宋体" w:eastAsia="宋体"/>
          <w:b/>
          <w:color w:val="auto"/>
          <w:highlight w:val="none"/>
        </w:rPr>
        <w:t>）</w:t>
      </w:r>
    </w:p>
    <w:p>
      <w:pPr>
        <w:rPr>
          <w:rFonts w:ascii="宋体" w:hAnsi="宋体"/>
          <w:b/>
          <w:color w:val="auto"/>
          <w:sz w:val="18"/>
          <w:szCs w:val="18"/>
          <w:highlight w:val="none"/>
        </w:rPr>
      </w:pPr>
    </w:p>
    <w:tbl>
      <w:tblPr>
        <w:tblStyle w:val="4"/>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noWrap w:val="0"/>
            <w:vAlign w:val="center"/>
          </w:tcPr>
          <w:p>
            <w:pPr>
              <w:widowControl/>
              <w:ind w:firstLine="420" w:firstLineChars="200"/>
              <w:jc w:val="left"/>
              <w:rPr>
                <w:rFonts w:ascii="宋体" w:hAnsi="宋体"/>
                <w:color w:val="auto"/>
                <w:szCs w:val="21"/>
                <w:highlight w:val="none"/>
              </w:rPr>
            </w:pPr>
            <w:r>
              <w:rPr>
                <w:rFonts w:hint="eastAsia" w:ascii="宋体" w:hAnsi="宋体"/>
                <w:color w:val="auto"/>
                <w:szCs w:val="21"/>
                <w:highlight w:val="none"/>
              </w:rPr>
              <w:t>近3年内(20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月1日至今，以合同签订时间为准)至少承揽过1项合同额在</w:t>
            </w:r>
            <w:r>
              <w:rPr>
                <w:rFonts w:hint="eastAsia" w:ascii="宋体" w:hAnsi="宋体"/>
                <w:color w:val="auto"/>
                <w:szCs w:val="21"/>
                <w:highlight w:val="none"/>
                <w:lang w:val="en-US" w:eastAsia="zh-CN"/>
              </w:rPr>
              <w:t>40</w:t>
            </w:r>
            <w:r>
              <w:rPr>
                <w:rFonts w:hint="eastAsia" w:ascii="宋体" w:hAnsi="宋体"/>
                <w:color w:val="auto"/>
                <w:szCs w:val="21"/>
                <w:highlight w:val="none"/>
              </w:rPr>
              <w:t>万元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w:t>
            </w:r>
            <w:r>
              <w:rPr>
                <w:rFonts w:hint="eastAsia" w:ascii="宋体" w:hAnsi="宋体"/>
                <w:color w:val="auto"/>
                <w:szCs w:val="21"/>
                <w:highlight w:val="none"/>
                <w:lang w:eastAsia="zh-CN"/>
              </w:rPr>
              <w:t>）</w:t>
            </w:r>
            <w:r>
              <w:rPr>
                <w:rFonts w:hint="eastAsia" w:ascii="宋体" w:hAnsi="宋体"/>
                <w:color w:val="auto"/>
                <w:szCs w:val="21"/>
                <w:highlight w:val="none"/>
              </w:rPr>
              <w:t>以上的</w:t>
            </w:r>
            <w:r>
              <w:rPr>
                <w:rFonts w:hint="eastAsia" w:ascii="宋体" w:hAnsi="宋体"/>
                <w:color w:val="auto"/>
                <w:szCs w:val="21"/>
                <w:highlight w:val="none"/>
                <w:lang w:val="en-US" w:eastAsia="zh-CN"/>
              </w:rPr>
              <w:t>高速行业内的软件开发项目</w:t>
            </w:r>
            <w:r>
              <w:rPr>
                <w:rFonts w:hint="eastAsia" w:ascii="宋体" w:hAnsi="宋体"/>
                <w:color w:val="auto"/>
                <w:szCs w:val="21"/>
                <w:highlight w:val="none"/>
              </w:rPr>
              <w:t>业绩。</w:t>
            </w:r>
          </w:p>
        </w:tc>
      </w:tr>
    </w:tbl>
    <w:p>
      <w:pPr>
        <w:jc w:val="center"/>
        <w:rPr>
          <w:rFonts w:ascii="宋体" w:hAnsi="宋体"/>
          <w:b/>
          <w:color w:val="auto"/>
          <w:sz w:val="24"/>
          <w:highlight w:val="none"/>
        </w:rPr>
      </w:pPr>
    </w:p>
    <w:p>
      <w:pPr>
        <w:spacing w:line="360" w:lineRule="auto"/>
        <w:jc w:val="center"/>
        <w:rPr>
          <w:rFonts w:hint="eastAsia" w:ascii="宋体" w:hAnsi="宋体"/>
          <w:b/>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附录3  资格审查条件（信誉最低条件）</w:t>
      </w:r>
    </w:p>
    <w:tbl>
      <w:tblPr>
        <w:tblStyle w:val="4"/>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noWrap w:val="0"/>
            <w:vAlign w:val="center"/>
          </w:tcPr>
          <w:p>
            <w:pPr>
              <w:ind w:firstLine="420" w:firstLineChars="200"/>
              <w:jc w:val="left"/>
              <w:rPr>
                <w:rFonts w:ascii="宋体" w:hAnsi="宋体"/>
                <w:color w:val="auto"/>
                <w:szCs w:val="21"/>
                <w:highlight w:val="none"/>
              </w:rPr>
            </w:pPr>
            <w:r>
              <w:rPr>
                <w:rFonts w:hint="eastAsia" w:ascii="宋体" w:hAnsi="宋体" w:cs="宋体"/>
                <w:color w:val="auto"/>
                <w:highlight w:val="none"/>
              </w:rPr>
              <w:t>投标人过去1年(202</w:t>
            </w:r>
            <w:r>
              <w:rPr>
                <w:rFonts w:hint="eastAsia" w:ascii="宋体" w:hAnsi="宋体" w:cs="宋体"/>
                <w:color w:val="auto"/>
                <w:highlight w:val="none"/>
                <w:lang w:val="en-US" w:eastAsia="zh-CN"/>
              </w:rPr>
              <w:t>2</w:t>
            </w:r>
            <w:r>
              <w:rPr>
                <w:rFonts w:hint="eastAsia" w:ascii="宋体" w:hAnsi="宋体" w:cs="宋体"/>
                <w:color w:val="auto"/>
                <w:highlight w:val="none"/>
              </w:rPr>
              <w:t>年</w:t>
            </w:r>
            <w:r>
              <w:rPr>
                <w:rFonts w:hint="eastAsia" w:ascii="宋体" w:hAnsi="宋体" w:cs="宋体"/>
                <w:color w:val="auto"/>
                <w:highlight w:val="none"/>
                <w:lang w:val="en-US" w:eastAsia="zh-CN"/>
              </w:rPr>
              <w:t>1</w:t>
            </w:r>
            <w:r>
              <w:rPr>
                <w:rFonts w:hint="eastAsia" w:ascii="宋体" w:hAnsi="宋体" w:cs="宋体"/>
                <w:color w:val="auto"/>
                <w:highlight w:val="none"/>
              </w:rPr>
              <w:t>月1日至今)不曾在高速公路合同中违约而被驱逐或因投标人自身的原因而使高速公路合同被解除</w:t>
            </w:r>
            <w:r>
              <w:rPr>
                <w:rFonts w:hint="eastAsia" w:ascii="宋体" w:hAnsi="宋体"/>
                <w:color w:val="auto"/>
                <w:szCs w:val="21"/>
                <w:highlight w:val="none"/>
              </w:rPr>
              <w:t>。</w:t>
            </w:r>
          </w:p>
        </w:tc>
      </w:tr>
    </w:tbl>
    <w:p>
      <w:pPr>
        <w:spacing w:line="360" w:lineRule="auto"/>
        <w:rPr>
          <w:rFonts w:ascii="宋体" w:hAnsi="宋体"/>
          <w:b/>
          <w:color w:val="auto"/>
          <w:sz w:val="24"/>
          <w:highlight w:val="none"/>
        </w:rPr>
      </w:pPr>
    </w:p>
    <w:p>
      <w:pPr>
        <w:spacing w:line="360" w:lineRule="auto"/>
        <w:jc w:val="center"/>
        <w:rPr>
          <w:rFonts w:hint="eastAsia" w:ascii="宋体" w:hAnsi="宋体"/>
          <w:b/>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附录4  资格审查条件（主要人员最低要求）</w:t>
      </w:r>
    </w:p>
    <w:tbl>
      <w:tblPr>
        <w:tblStyle w:val="4"/>
        <w:tblpPr w:leftFromText="180" w:rightFromText="180" w:vertAnchor="text" w:horzAnchor="margin" w:tblpXSpec="center" w:tblpY="2"/>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6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9"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人员</w:t>
            </w:r>
          </w:p>
        </w:tc>
        <w:tc>
          <w:tcPr>
            <w:tcW w:w="76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数量</w:t>
            </w:r>
          </w:p>
        </w:tc>
        <w:tc>
          <w:tcPr>
            <w:tcW w:w="6874"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69" w:type="dxa"/>
            <w:noWrap w:val="0"/>
            <w:vAlign w:val="center"/>
          </w:tcPr>
          <w:p>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项目负责人</w:t>
            </w:r>
          </w:p>
        </w:tc>
        <w:tc>
          <w:tcPr>
            <w:tcW w:w="766" w:type="dxa"/>
            <w:noWrap w:val="0"/>
            <w:vAlign w:val="center"/>
          </w:tcPr>
          <w:p>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1人</w:t>
            </w:r>
          </w:p>
        </w:tc>
        <w:tc>
          <w:tcPr>
            <w:tcW w:w="6874" w:type="dxa"/>
            <w:noWrap w:val="0"/>
            <w:vAlign w:val="center"/>
          </w:tcPr>
          <w:p>
            <w:pPr>
              <w:widowControl/>
              <w:jc w:val="left"/>
              <w:rPr>
                <w:rFonts w:hint="eastAsia" w:ascii="宋体" w:hAnsi="宋体" w:cs="宋体"/>
                <w:bCs/>
                <w:color w:val="auto"/>
                <w:szCs w:val="21"/>
                <w:highlight w:val="none"/>
                <w:u w:val="single"/>
              </w:rPr>
            </w:pPr>
            <w:r>
              <w:rPr>
                <w:rFonts w:hint="eastAsia" w:ascii="宋体" w:hAnsi="宋体"/>
                <w:color w:val="auto"/>
                <w:szCs w:val="21"/>
                <w:highlight w:val="none"/>
                <w:lang w:val="en-US" w:eastAsia="zh-CN"/>
              </w:rPr>
              <w:t>高级及以上职称，</w:t>
            </w:r>
            <w:r>
              <w:rPr>
                <w:rFonts w:hint="eastAsia" w:ascii="宋体" w:hAnsi="宋体"/>
                <w:color w:val="auto"/>
                <w:szCs w:val="21"/>
                <w:highlight w:val="none"/>
              </w:rPr>
              <w:t>近3年内(20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月1日至今，以合同签订时间为准)至少</w:t>
            </w:r>
            <w:r>
              <w:rPr>
                <w:rFonts w:hint="eastAsia" w:ascii="宋体" w:hAnsi="宋体"/>
                <w:color w:val="auto"/>
                <w:szCs w:val="21"/>
                <w:highlight w:val="none"/>
                <w:lang w:val="en-US" w:eastAsia="zh-CN"/>
              </w:rPr>
              <w:t>担任</w:t>
            </w:r>
            <w:r>
              <w:rPr>
                <w:rFonts w:hint="eastAsia" w:ascii="宋体" w:hAnsi="宋体"/>
                <w:color w:val="auto"/>
                <w:szCs w:val="21"/>
                <w:highlight w:val="none"/>
              </w:rPr>
              <w:t>过1项</w:t>
            </w:r>
            <w:r>
              <w:rPr>
                <w:rFonts w:hint="eastAsia" w:ascii="宋体" w:hAnsi="宋体"/>
                <w:color w:val="auto"/>
                <w:szCs w:val="21"/>
                <w:highlight w:val="none"/>
                <w:lang w:val="en-US" w:eastAsia="zh-CN"/>
              </w:rPr>
              <w:t>高速行业内的软件开发项目的项目负责人</w:t>
            </w:r>
            <w:r>
              <w:rPr>
                <w:rFonts w:hint="eastAsia" w:ascii="宋体" w:hAnsi="宋体"/>
                <w:color w:val="auto"/>
                <w:szCs w:val="21"/>
                <w:highlight w:val="none"/>
              </w:rPr>
              <w:t>。</w:t>
            </w:r>
          </w:p>
        </w:tc>
      </w:tr>
    </w:tbl>
    <w:p>
      <w:pPr>
        <w:widowControl/>
        <w:jc w:val="left"/>
        <w:rPr>
          <w:rFonts w:hint="eastAsia" w:ascii="宋体" w:hAnsi="宋体" w:cs="宋体"/>
          <w:b/>
          <w:bCs/>
          <w:color w:val="auto"/>
          <w:kern w:val="0"/>
          <w:szCs w:val="21"/>
          <w:highlight w:val="none"/>
          <w:lang w:bidi="ar"/>
        </w:rPr>
      </w:pPr>
    </w:p>
    <w:p>
      <w:pPr>
        <w:widowControl/>
        <w:jc w:val="left"/>
        <w:rPr>
          <w:rFonts w:hint="eastAsia" w:ascii="宋体" w:hAnsi="宋体" w:cs="宋体"/>
          <w:b/>
          <w:bCs/>
          <w:color w:val="auto"/>
          <w:kern w:val="0"/>
          <w:szCs w:val="21"/>
          <w:highlight w:val="none"/>
          <w:lang w:bidi="ar"/>
        </w:rPr>
      </w:pPr>
    </w:p>
    <w:p>
      <w:pPr>
        <w:adjustRightInd w:val="0"/>
        <w:snapToGrid w:val="0"/>
        <w:spacing w:before="120" w:beforeLines="50" w:line="300" w:lineRule="auto"/>
        <w:rPr>
          <w:rFonts w:ascii="宋体" w:hAnsi="宋体"/>
          <w:b/>
          <w:color w:val="auto"/>
          <w:kern w:val="28"/>
          <w:sz w:val="24"/>
          <w:szCs w:val="20"/>
          <w:highlight w:val="none"/>
        </w:rPr>
      </w:pPr>
    </w:p>
    <w:p>
      <w:pPr>
        <w:widowControl w:val="0"/>
        <w:snapToGrid w:val="0"/>
        <w:rPr>
          <w:rFonts w:ascii="Times New Roman" w:hAnsi="Times New Roman" w:eastAsia="宋体" w:cs="Arial"/>
          <w:color w:val="auto"/>
          <w:highlight w:val="none"/>
        </w:rPr>
      </w:pPr>
      <w:r>
        <w:rPr>
          <w:rFonts w:hint="eastAsia" w:ascii="宋体" w:hAnsi="宋体"/>
          <w:b/>
          <w:color w:val="auto"/>
          <w:kern w:val="28"/>
          <w:sz w:val="24"/>
          <w:szCs w:val="24"/>
          <w:highlight w:val="none"/>
        </w:rPr>
        <w:br w:type="page"/>
      </w:r>
      <w:r>
        <w:rPr>
          <w:rFonts w:hint="eastAsia" w:ascii="宋体" w:hAnsi="宋体"/>
          <w:b/>
          <w:color w:val="auto"/>
          <w:kern w:val="28"/>
          <w:sz w:val="24"/>
          <w:szCs w:val="24"/>
          <w:highlight w:val="none"/>
        </w:rPr>
        <w:t>附件2</w:t>
      </w:r>
      <w:r>
        <w:rPr>
          <w:rFonts w:ascii="宋体" w:hAnsi="宋体"/>
          <w:b/>
          <w:color w:val="auto"/>
          <w:kern w:val="28"/>
          <w:sz w:val="24"/>
          <w:szCs w:val="24"/>
          <w:highlight w:val="none"/>
        </w:rPr>
        <w:t>：</w:t>
      </w:r>
      <w:r>
        <w:rPr>
          <w:rFonts w:hint="eastAsia" w:ascii="宋体" w:hAnsi="宋体" w:eastAsia="宋体" w:cs="宋体"/>
          <w:b/>
          <w:color w:val="auto"/>
          <w:sz w:val="24"/>
          <w:szCs w:val="24"/>
          <w:highlight w:val="none"/>
        </w:rPr>
        <w:t>评标办法前附表</w:t>
      </w:r>
    </w:p>
    <w:tbl>
      <w:tblPr>
        <w:tblStyle w:val="4"/>
        <w:tblW w:w="9781" w:type="dxa"/>
        <w:jc w:val="center"/>
        <w:tblLayout w:type="fixed"/>
        <w:tblCellMar>
          <w:top w:w="0" w:type="dxa"/>
          <w:left w:w="108" w:type="dxa"/>
          <w:bottom w:w="0" w:type="dxa"/>
          <w:right w:w="108" w:type="dxa"/>
        </w:tblCellMar>
      </w:tblPr>
      <w:tblGrid>
        <w:gridCol w:w="820"/>
        <w:gridCol w:w="709"/>
        <w:gridCol w:w="2218"/>
        <w:gridCol w:w="6034"/>
      </w:tblGrid>
      <w:tr>
        <w:tblPrEx>
          <w:tblCellMar>
            <w:top w:w="0" w:type="dxa"/>
            <w:left w:w="108" w:type="dxa"/>
            <w:bottom w:w="0" w:type="dxa"/>
            <w:right w:w="108" w:type="dxa"/>
          </w:tblCellMar>
        </w:tblPrEx>
        <w:trPr>
          <w:trHeight w:val="297" w:hRule="atLeast"/>
          <w:jc w:val="center"/>
        </w:trPr>
        <w:tc>
          <w:tcPr>
            <w:tcW w:w="152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ind w:right="-20"/>
              <w:jc w:val="center"/>
              <w:rPr>
                <w:rFonts w:ascii="Times New Roman" w:hAnsi="Times New Roman" w:eastAsia="宋体" w:cs="Arial"/>
                <w:color w:val="auto"/>
                <w:highlight w:val="none"/>
              </w:rPr>
            </w:pPr>
            <w:r>
              <w:rPr>
                <w:rFonts w:hint="eastAsia" w:ascii="宋体" w:hAnsi="宋体" w:eastAsia="宋体" w:cs="微软雅黑"/>
                <w:b/>
                <w:color w:val="auto"/>
                <w:sz w:val="21"/>
                <w:szCs w:val="21"/>
                <w:highlight w:val="none"/>
              </w:rPr>
              <w:t>条款号</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autoSpaceDE w:val="0"/>
              <w:ind w:right="-20"/>
              <w:jc w:val="center"/>
              <w:rPr>
                <w:rFonts w:ascii="Times New Roman" w:hAnsi="Times New Roman" w:eastAsia="宋体" w:cs="Arial"/>
                <w:color w:val="auto"/>
                <w:highlight w:val="none"/>
              </w:rPr>
            </w:pPr>
            <w:r>
              <w:rPr>
                <w:rFonts w:hint="eastAsia" w:ascii="宋体" w:hAnsi="宋体" w:eastAsia="宋体" w:cs="微软雅黑"/>
                <w:b/>
                <w:color w:val="auto"/>
                <w:sz w:val="21"/>
                <w:szCs w:val="21"/>
                <w:highlight w:val="none"/>
              </w:rPr>
              <w:t>评审因素</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autoSpaceDE w:val="0"/>
              <w:ind w:right="-20"/>
              <w:jc w:val="center"/>
              <w:rPr>
                <w:rFonts w:ascii="Times New Roman" w:hAnsi="Times New Roman" w:eastAsia="宋体" w:cs="Arial"/>
                <w:color w:val="auto"/>
                <w:highlight w:val="none"/>
              </w:rPr>
            </w:pPr>
            <w:r>
              <w:rPr>
                <w:rFonts w:hint="eastAsia" w:ascii="宋体" w:hAnsi="宋体" w:eastAsia="宋体" w:cs="微软雅黑"/>
                <w:b/>
                <w:color w:val="auto"/>
                <w:sz w:val="21"/>
                <w:szCs w:val="21"/>
                <w:highlight w:val="none"/>
              </w:rPr>
              <w:t>评审标准</w:t>
            </w:r>
          </w:p>
        </w:tc>
      </w:tr>
      <w:tr>
        <w:tblPrEx>
          <w:tblCellMar>
            <w:top w:w="0" w:type="dxa"/>
            <w:left w:w="108" w:type="dxa"/>
            <w:bottom w:w="0" w:type="dxa"/>
            <w:right w:w="108" w:type="dxa"/>
          </w:tblCellMar>
        </w:tblPrEx>
        <w:trPr>
          <w:trHeight w:val="2320"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autoSpaceDE w:val="0"/>
              <w:jc w:val="center"/>
              <w:rPr>
                <w:rFonts w:ascii="Times New Roman" w:hAnsi="Times New Roman" w:eastAsia="宋体" w:cs="Arial"/>
                <w:color w:val="auto"/>
                <w:highlight w:val="none"/>
              </w:rPr>
            </w:pPr>
            <w:r>
              <w:rPr>
                <w:rFonts w:ascii="宋体" w:hAnsi="宋体" w:eastAsia="宋体" w:cs="宋体"/>
                <w:color w:val="auto"/>
                <w:sz w:val="21"/>
                <w:szCs w:val="21"/>
                <w:highlight w:val="none"/>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before="82"/>
              <w:jc w:val="center"/>
              <w:rPr>
                <w:rFonts w:ascii="Times New Roman" w:hAnsi="Times New Roman" w:eastAsia="宋体" w:cs="Arial"/>
                <w:color w:val="auto"/>
                <w:highlight w:val="none"/>
              </w:rPr>
            </w:pPr>
            <w:r>
              <w:rPr>
                <w:rFonts w:hint="eastAsia" w:ascii="宋体" w:hAnsi="宋体" w:eastAsia="宋体" w:cs="微软雅黑"/>
                <w:color w:val="auto"/>
                <w:sz w:val="21"/>
                <w:szCs w:val="21"/>
                <w:highlight w:val="none"/>
              </w:rPr>
              <w:t>评标</w:t>
            </w:r>
            <w:r>
              <w:rPr>
                <w:rFonts w:hint="eastAsia" w:ascii="宋体" w:hAnsi="宋体" w:eastAsia="宋体" w:cs="微软雅黑"/>
                <w:color w:val="auto"/>
                <w:spacing w:val="-2"/>
                <w:sz w:val="21"/>
                <w:szCs w:val="21"/>
                <w:highlight w:val="none"/>
              </w:rPr>
              <w:t>方</w:t>
            </w:r>
            <w:r>
              <w:rPr>
                <w:rFonts w:hint="eastAsia" w:ascii="宋体" w:hAnsi="宋体" w:eastAsia="宋体" w:cs="微软雅黑"/>
                <w:color w:val="auto"/>
                <w:sz w:val="21"/>
                <w:szCs w:val="21"/>
                <w:highlight w:val="none"/>
              </w:rPr>
              <w:t>法</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szCs w:val="21"/>
                <w:highlight w:val="none"/>
              </w:rPr>
              <w:t>中标候选人排序方法</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both"/>
              <w:rPr>
                <w:rFonts w:ascii="Times New Roman" w:hAnsi="Times New Roman" w:eastAsia="宋体" w:cs="Arial"/>
                <w:color w:val="auto"/>
                <w:highlight w:val="none"/>
              </w:rPr>
            </w:pPr>
            <w:r>
              <w:rPr>
                <w:rFonts w:hint="eastAsia" w:ascii="宋体" w:hAnsi="宋体" w:eastAsia="宋体" w:cs="宋体"/>
                <w:color w:val="auto"/>
                <w:sz w:val="21"/>
                <w:szCs w:val="21"/>
                <w:highlight w:val="none"/>
              </w:rPr>
              <w:t>本条修改为：</w:t>
            </w:r>
          </w:p>
          <w:p>
            <w:pPr>
              <w:widowControl w:val="0"/>
              <w:snapToGrid w:val="0"/>
              <w:spacing w:line="3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本次评标采用经评审的最低投标价法。评标委员会对满足招标文件实质性要求的投标文件， 根据本章第 2.2 款规定的评标价格调整方法进行必要的价格调整，并按照经评审的投标价由低到高的顺序推荐</w:t>
            </w:r>
            <w:r>
              <w:rPr>
                <w:rFonts w:hint="eastAsia" w:ascii="宋体" w:hAnsi="宋体" w:eastAsia="宋体" w:cs="宋体"/>
                <w:color w:val="auto"/>
                <w:spacing w:val="-1"/>
                <w:sz w:val="21"/>
                <w:szCs w:val="21"/>
                <w:highlight w:val="none"/>
              </w:rPr>
              <w:t>1-3名</w:t>
            </w:r>
            <w:r>
              <w:rPr>
                <w:rFonts w:ascii="宋体" w:hAnsi="宋体" w:eastAsia="宋体" w:cs="宋体"/>
                <w:color w:val="auto"/>
                <w:spacing w:val="-1"/>
                <w:sz w:val="21"/>
                <w:szCs w:val="21"/>
                <w:highlight w:val="none"/>
              </w:rPr>
              <w:t>为</w:t>
            </w:r>
            <w:r>
              <w:rPr>
                <w:rFonts w:hint="eastAsia" w:ascii="宋体" w:hAnsi="宋体" w:eastAsia="宋体" w:cs="宋体"/>
                <w:color w:val="auto"/>
                <w:sz w:val="21"/>
                <w:szCs w:val="21"/>
                <w:highlight w:val="none"/>
              </w:rPr>
              <w:t>中标候选人。经评审的投标价相等时，评标委员会依次按照以下优先顺序推荐中标候选人或确定中标人：</w:t>
            </w:r>
          </w:p>
          <w:p>
            <w:pPr>
              <w:widowControl w:val="0"/>
              <w:numPr>
                <w:ilvl w:val="0"/>
                <w:numId w:val="0"/>
              </w:numPr>
              <w:snapToGrid w:val="0"/>
              <w:spacing w:line="300"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投标报价低的优先</w:t>
            </w:r>
            <w:r>
              <w:rPr>
                <w:rFonts w:hint="eastAsia" w:ascii="宋体" w:hAnsi="宋体" w:eastAsia="宋体" w:cs="宋体"/>
                <w:color w:val="auto"/>
                <w:sz w:val="21"/>
                <w:szCs w:val="21"/>
                <w:highlight w:val="none"/>
                <w:lang w:eastAsia="zh-CN"/>
              </w:rPr>
              <w:t>；</w:t>
            </w:r>
          </w:p>
          <w:p>
            <w:pPr>
              <w:widowControl w:val="0"/>
              <w:numPr>
                <w:ilvl w:val="0"/>
                <w:numId w:val="0"/>
              </w:numPr>
              <w:snapToGrid w:val="0"/>
              <w:spacing w:line="300" w:lineRule="exact"/>
              <w:jc w:val="both"/>
              <w:rPr>
                <w:rFonts w:ascii="Times New Roman" w:hAnsi="Times New Roman" w:eastAsia="宋体" w:cs="Arial"/>
                <w:color w:val="auto"/>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满足招标文件“投标人须知”附录2要求的业绩累计金额</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的投标人优先。</w:t>
            </w:r>
          </w:p>
        </w:tc>
      </w:tr>
      <w:tr>
        <w:tblPrEx>
          <w:tblCellMar>
            <w:top w:w="0" w:type="dxa"/>
            <w:left w:w="108" w:type="dxa"/>
            <w:bottom w:w="0" w:type="dxa"/>
            <w:right w:w="108" w:type="dxa"/>
          </w:tblCellMar>
        </w:tblPrEx>
        <w:trPr>
          <w:trHeight w:val="391" w:hRule="atLeast"/>
          <w:jc w:val="center"/>
        </w:trPr>
        <w:tc>
          <w:tcPr>
            <w:tcW w:w="978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tc>
      </w:tr>
      <w:tr>
        <w:tblPrEx>
          <w:tblCellMar>
            <w:top w:w="0" w:type="dxa"/>
            <w:left w:w="108" w:type="dxa"/>
            <w:bottom w:w="0" w:type="dxa"/>
            <w:right w:w="108" w:type="dxa"/>
          </w:tblCellMar>
        </w:tblPrEx>
        <w:trPr>
          <w:trHeight w:val="30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jc w:val="center"/>
              <w:rPr>
                <w:rFonts w:ascii="Times New Roman" w:hAnsi="Times New Roman" w:eastAsia="宋体" w:cs="Arial"/>
                <w:color w:val="auto"/>
                <w:highlight w:val="none"/>
              </w:rPr>
            </w:pPr>
            <w:r>
              <w:rPr>
                <w:rFonts w:ascii="宋体" w:hAnsi="宋体" w:eastAsia="宋体" w:cs="宋体"/>
                <w:color w:val="auto"/>
                <w:sz w:val="21"/>
                <w:szCs w:val="21"/>
                <w:highlight w:val="none"/>
              </w:rPr>
              <w:t>2.1.1</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spacing w:before="82"/>
              <w:jc w:val="center"/>
              <w:rPr>
                <w:rFonts w:ascii="Times New Roman" w:hAnsi="Times New Roman" w:eastAsia="宋体" w:cs="Arial"/>
                <w:color w:val="auto"/>
                <w:highlight w:val="none"/>
              </w:rPr>
            </w:pPr>
            <w:r>
              <w:rPr>
                <w:rFonts w:hint="eastAsia" w:ascii="宋体" w:hAnsi="宋体" w:eastAsia="宋体" w:cs="微软雅黑"/>
                <w:color w:val="auto"/>
                <w:sz w:val="21"/>
                <w:szCs w:val="21"/>
                <w:highlight w:val="none"/>
              </w:rPr>
              <w:t>形式评审标准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投标人名称</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与营业执照一致</w:t>
            </w:r>
          </w:p>
        </w:tc>
      </w:tr>
      <w:tr>
        <w:tblPrEx>
          <w:tblCellMar>
            <w:top w:w="0" w:type="dxa"/>
            <w:left w:w="108" w:type="dxa"/>
            <w:bottom w:w="0" w:type="dxa"/>
            <w:right w:w="108" w:type="dxa"/>
          </w:tblCellMar>
        </w:tblPrEx>
        <w:trPr>
          <w:trHeight w:val="92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投标文件签字盖章</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第六章“投标文件格式”中要求盖单位章和（或）法定代表人或其委托代理人签字的地方，投标人均应使用CA 数字证书加盖投标人的单位电子印章和（或）法定代表人或其委托代理人的个人电子印章或电子签名章，无需手签。</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投标人法定代表人授权委托代理人签署投标文件的，须提交授权委托书，授权委托书的签字盖章符合招标文件规定，授权委托书只能授权给一名委托代理人。 </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210" w:firstLineChars="100"/>
              <w:textAlignment w:val="auto"/>
              <w:rPr>
                <w:color w:val="auto"/>
                <w:highlight w:val="none"/>
              </w:rPr>
            </w:pPr>
            <w:r>
              <w:rPr>
                <w:rFonts w:hint="eastAsia" w:ascii="宋体" w:hAnsi="宋体" w:eastAsia="宋体" w:cs="宋体"/>
                <w:color w:val="auto"/>
                <w:sz w:val="21"/>
                <w:szCs w:val="21"/>
                <w:highlight w:val="none"/>
              </w:rPr>
              <w:t>投标人法定代表人亲自签署投标文件的，提供了法定代表人身份证明，法定代表人身份证明的签字盖章符合招标文件规定。</w:t>
            </w:r>
          </w:p>
        </w:tc>
      </w:tr>
      <w:tr>
        <w:tblPrEx>
          <w:tblCellMar>
            <w:top w:w="0" w:type="dxa"/>
            <w:left w:w="108" w:type="dxa"/>
            <w:bottom w:w="0" w:type="dxa"/>
            <w:right w:w="108" w:type="dxa"/>
          </w:tblCellMar>
        </w:tblPrEx>
        <w:trPr>
          <w:trHeight w:val="243"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投标文件格式</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投标文件按照招标文件规定的格式、内容填写，字迹清晰可辨：</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a.投标函按招标文件规定填报了项目名称、补遗书编号（如有）、服务期限及项目负责人信息；</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b.投标文件组成齐全完整，内容均按规定填写。</w:t>
            </w:r>
          </w:p>
        </w:tc>
      </w:tr>
      <w:tr>
        <w:tblPrEx>
          <w:tblCellMar>
            <w:top w:w="0" w:type="dxa"/>
            <w:left w:w="108" w:type="dxa"/>
            <w:bottom w:w="0" w:type="dxa"/>
            <w:right w:w="108" w:type="dxa"/>
          </w:tblCellMar>
        </w:tblPrEx>
        <w:trPr>
          <w:trHeight w:val="31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联合体投标人</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未以联合体形式投标</w:t>
            </w:r>
          </w:p>
        </w:tc>
      </w:tr>
      <w:tr>
        <w:tblPrEx>
          <w:tblCellMar>
            <w:top w:w="0" w:type="dxa"/>
            <w:left w:w="108" w:type="dxa"/>
            <w:bottom w:w="0" w:type="dxa"/>
            <w:right w:w="108" w:type="dxa"/>
          </w:tblCellMar>
        </w:tblPrEx>
        <w:trPr>
          <w:trHeight w:val="24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备选投标方案</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未提交备选投标方案</w:t>
            </w:r>
          </w:p>
        </w:tc>
      </w:tr>
      <w:tr>
        <w:tblPrEx>
          <w:tblCellMar>
            <w:top w:w="0" w:type="dxa"/>
            <w:left w:w="108" w:type="dxa"/>
            <w:bottom w:w="0" w:type="dxa"/>
            <w:right w:w="108" w:type="dxa"/>
          </w:tblCellMar>
        </w:tblPrEx>
        <w:trPr>
          <w:trHeight w:val="226"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hint="eastAsia"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88" w:lineRule="auto"/>
              <w:jc w:val="center"/>
              <w:rPr>
                <w:rFonts w:ascii="Times New Roman" w:hAnsi="Times New Roman" w:eastAsia="宋体" w:cs="Arial"/>
                <w:color w:val="auto"/>
                <w:highlight w:val="none"/>
              </w:rPr>
            </w:pPr>
            <w:r>
              <w:rPr>
                <w:rFonts w:hint="eastAsia" w:ascii="宋体" w:hAnsi="宋体" w:eastAsia="宋体" w:cs="宋体"/>
                <w:color w:val="auto"/>
                <w:sz w:val="21"/>
                <w:szCs w:val="21"/>
                <w:highlight w:val="none"/>
              </w:rPr>
              <w:t>分包</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line="288" w:lineRule="auto"/>
              <w:jc w:val="both"/>
              <w:rPr>
                <w:rFonts w:ascii="Times New Roman" w:hAnsi="Times New Roman" w:eastAsia="宋体" w:cs="Arial"/>
                <w:color w:val="auto"/>
                <w:highlight w:val="none"/>
              </w:rPr>
            </w:pPr>
            <w:r>
              <w:rPr>
                <w:rFonts w:hint="eastAsia" w:ascii="宋体" w:hAnsi="宋体" w:eastAsia="宋体" w:cs="宋体"/>
                <w:color w:val="auto"/>
                <w:sz w:val="21"/>
                <w:szCs w:val="21"/>
                <w:highlight w:val="none"/>
              </w:rPr>
              <w:t>投标人未对本项目提出分包计划</w:t>
            </w:r>
          </w:p>
        </w:tc>
      </w:tr>
      <w:tr>
        <w:tblPrEx>
          <w:tblCellMar>
            <w:top w:w="0" w:type="dxa"/>
            <w:left w:w="108" w:type="dxa"/>
            <w:bottom w:w="0" w:type="dxa"/>
            <w:right w:w="108" w:type="dxa"/>
          </w:tblCellMar>
        </w:tblPrEx>
        <w:trPr>
          <w:trHeight w:val="417"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jc w:val="center"/>
              <w:rPr>
                <w:rFonts w:ascii="Times New Roman" w:hAnsi="Times New Roman" w:eastAsia="宋体" w:cs="Arial"/>
                <w:color w:val="auto"/>
                <w:highlight w:val="none"/>
              </w:rPr>
            </w:pPr>
            <w:r>
              <w:rPr>
                <w:rFonts w:hint="eastAsia" w:ascii="宋体" w:hAnsi="宋体" w:eastAsia="宋体" w:cs="宋体"/>
                <w:color w:val="auto"/>
                <w:sz w:val="21"/>
                <w:szCs w:val="21"/>
                <w:highlight w:val="none"/>
              </w:rPr>
              <w:t>2.1.2</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spacing w:before="82"/>
              <w:jc w:val="center"/>
              <w:rPr>
                <w:rFonts w:ascii="Times New Roman" w:hAnsi="Times New Roman" w:eastAsia="宋体" w:cs="Arial"/>
                <w:color w:val="auto"/>
                <w:highlight w:val="none"/>
              </w:rPr>
            </w:pPr>
            <w:r>
              <w:rPr>
                <w:rFonts w:hint="eastAsia" w:ascii="宋体" w:hAnsi="宋体" w:eastAsia="宋体" w:cs="微软雅黑"/>
                <w:color w:val="auto"/>
                <w:sz w:val="21"/>
                <w:szCs w:val="21"/>
                <w:highlight w:val="none"/>
              </w:rPr>
              <w:t>资格评审标准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default" w:ascii="Times New Roman" w:hAnsi="Times New Roman" w:eastAsia="宋体" w:cs="Arial"/>
                <w:color w:val="auto"/>
                <w:highlight w:val="none"/>
                <w:lang w:val="en-US" w:eastAsia="zh-CN"/>
              </w:rPr>
            </w:pPr>
            <w:r>
              <w:rPr>
                <w:rFonts w:hint="eastAsia" w:ascii="Times New Roman" w:hAnsi="Times New Roman" w:eastAsia="宋体" w:cs="Arial"/>
                <w:color w:val="auto"/>
                <w:highlight w:val="none"/>
                <w:lang w:val="en-US" w:eastAsia="zh-CN"/>
              </w:rPr>
              <w:t>资格要求</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Arial"/>
                <w:color w:val="auto"/>
                <w:highlight w:val="none"/>
                <w:lang w:val="en-US" w:eastAsia="zh-CN"/>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1.4.1</w:t>
            </w:r>
            <w:r>
              <w:rPr>
                <w:rFonts w:hint="eastAsia" w:ascii="宋体" w:hAnsi="宋体" w:eastAsia="宋体" w:cs="宋体"/>
                <w:color w:val="auto"/>
                <w:sz w:val="21"/>
                <w:highlight w:val="none"/>
              </w:rPr>
              <w:t>项规定</w:t>
            </w:r>
            <w:r>
              <w:rPr>
                <w:rFonts w:hint="eastAsia" w:ascii="宋体" w:hAnsi="宋体" w:eastAsia="宋体" w:cs="宋体"/>
                <w:color w:val="auto"/>
                <w:sz w:val="21"/>
                <w:highlight w:val="none"/>
                <w:lang w:eastAsia="zh-CN"/>
              </w:rPr>
              <w:t>，具备有效的</w:t>
            </w:r>
            <w:r>
              <w:rPr>
                <w:rFonts w:hint="eastAsia" w:ascii="宋体" w:hAnsi="宋体" w:eastAsia="宋体" w:cs="宋体"/>
                <w:color w:val="auto"/>
                <w:sz w:val="21"/>
                <w:highlight w:val="none"/>
                <w:lang w:val="en-US" w:eastAsia="zh-CN"/>
              </w:rPr>
              <w:t>企业</w:t>
            </w:r>
            <w:r>
              <w:rPr>
                <w:rFonts w:hint="eastAsia" w:ascii="宋体" w:hAnsi="宋体" w:eastAsia="宋体" w:cs="宋体"/>
                <w:color w:val="auto"/>
                <w:sz w:val="21"/>
                <w:highlight w:val="none"/>
                <w:lang w:eastAsia="zh-CN"/>
              </w:rPr>
              <w:t>营业执照、组织机构代码证（三证合一或五证合一的除外）和基本账户开户许可证（或基本存款账户信息）</w:t>
            </w:r>
            <w:r>
              <w:rPr>
                <w:rFonts w:hint="eastAsia" w:ascii="宋体" w:hAnsi="宋体" w:eastAsia="宋体" w:cs="宋体"/>
                <w:color w:val="auto"/>
                <w:sz w:val="21"/>
                <w:highlight w:val="none"/>
                <w:lang w:val="en-US" w:eastAsia="zh-CN"/>
              </w:rPr>
              <w:t>。</w:t>
            </w:r>
          </w:p>
        </w:tc>
      </w:tr>
      <w:tr>
        <w:tblPrEx>
          <w:tblCellMar>
            <w:top w:w="0" w:type="dxa"/>
            <w:left w:w="108" w:type="dxa"/>
            <w:bottom w:w="0" w:type="dxa"/>
            <w:right w:w="108" w:type="dxa"/>
          </w:tblCellMar>
        </w:tblPrEx>
        <w:trPr>
          <w:trHeight w:val="315"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业绩要求</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1.4.1</w:t>
            </w:r>
            <w:r>
              <w:rPr>
                <w:rFonts w:hint="eastAsia" w:ascii="宋体" w:hAnsi="宋体" w:eastAsia="宋体" w:cs="宋体"/>
                <w:color w:val="auto"/>
                <w:sz w:val="21"/>
                <w:highlight w:val="none"/>
              </w:rPr>
              <w:t>项规定</w:t>
            </w:r>
          </w:p>
        </w:tc>
      </w:tr>
      <w:tr>
        <w:tblPrEx>
          <w:tblCellMar>
            <w:top w:w="0" w:type="dxa"/>
            <w:left w:w="108" w:type="dxa"/>
            <w:bottom w:w="0" w:type="dxa"/>
            <w:right w:w="108" w:type="dxa"/>
          </w:tblCellMar>
        </w:tblPrEx>
        <w:trPr>
          <w:trHeight w:val="30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信誉要求</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1.4.1</w:t>
            </w:r>
            <w:r>
              <w:rPr>
                <w:rFonts w:hint="eastAsia" w:ascii="宋体" w:hAnsi="宋体" w:eastAsia="宋体" w:cs="宋体"/>
                <w:color w:val="auto"/>
                <w:sz w:val="21"/>
                <w:highlight w:val="none"/>
              </w:rPr>
              <w:t>项规定</w:t>
            </w:r>
          </w:p>
        </w:tc>
      </w:tr>
      <w:tr>
        <w:tblPrEx>
          <w:tblCellMar>
            <w:top w:w="0" w:type="dxa"/>
            <w:left w:w="108" w:type="dxa"/>
            <w:bottom w:w="0" w:type="dxa"/>
            <w:right w:w="108" w:type="dxa"/>
          </w:tblCellMar>
        </w:tblPrEx>
        <w:trPr>
          <w:trHeight w:val="30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主要人员要求</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1.4.1</w:t>
            </w:r>
            <w:r>
              <w:rPr>
                <w:rFonts w:hint="eastAsia" w:ascii="宋体" w:hAnsi="宋体" w:eastAsia="宋体" w:cs="宋体"/>
                <w:color w:val="auto"/>
                <w:sz w:val="21"/>
                <w:highlight w:val="none"/>
              </w:rPr>
              <w:t>项规定</w:t>
            </w:r>
          </w:p>
        </w:tc>
      </w:tr>
      <w:tr>
        <w:tblPrEx>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不存在禁止投标</w:t>
            </w:r>
          </w:p>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的情形</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cs="宋体"/>
                <w:color w:val="auto"/>
                <w:szCs w:val="21"/>
                <w:highlight w:val="none"/>
              </w:rPr>
              <w:t>不存在第二章“投标人须知”第1.4.3项和1.4.4项规定的任何一种情形</w:t>
            </w:r>
          </w:p>
        </w:tc>
      </w:tr>
      <w:tr>
        <w:tblPrEx>
          <w:tblCellMar>
            <w:top w:w="0" w:type="dxa"/>
            <w:left w:w="108" w:type="dxa"/>
            <w:bottom w:w="0" w:type="dxa"/>
            <w:right w:w="108" w:type="dxa"/>
          </w:tblCellMar>
        </w:tblPrEx>
        <w:trPr>
          <w:trHeight w:val="390"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jc w:val="center"/>
              <w:rPr>
                <w:rFonts w:ascii="Times New Roman" w:hAnsi="Times New Roman" w:eastAsia="宋体" w:cs="Arial"/>
                <w:color w:val="auto"/>
                <w:highlight w:val="none"/>
              </w:rPr>
            </w:pPr>
            <w:r>
              <w:rPr>
                <w:rFonts w:hint="eastAsia" w:ascii="宋体" w:hAnsi="宋体" w:eastAsia="宋体" w:cs="宋体"/>
                <w:color w:val="auto"/>
                <w:sz w:val="21"/>
                <w:szCs w:val="21"/>
                <w:highlight w:val="none"/>
              </w:rPr>
              <w:t>2.1.3</w:t>
            </w:r>
          </w:p>
        </w:tc>
        <w:tc>
          <w:tcPr>
            <w:tcW w:w="709" w:type="dxa"/>
            <w:vMerge w:val="restart"/>
            <w:tcBorders>
              <w:top w:val="single" w:color="000000" w:sz="4" w:space="0"/>
              <w:left w:val="single" w:color="000000" w:sz="4" w:space="0"/>
              <w:bottom w:val="single" w:color="000000" w:sz="4" w:space="0"/>
              <w:right w:val="single" w:color="auto" w:sz="4" w:space="0"/>
            </w:tcBorders>
            <w:noWrap w:val="0"/>
            <w:vAlign w:val="center"/>
          </w:tcPr>
          <w:p>
            <w:pPr>
              <w:autoSpaceDE w:val="0"/>
              <w:spacing w:before="82"/>
              <w:jc w:val="center"/>
              <w:rPr>
                <w:rFonts w:ascii="Times New Roman" w:hAnsi="Times New Roman" w:eastAsia="宋体" w:cs="Arial"/>
                <w:color w:val="auto"/>
                <w:highlight w:val="none"/>
              </w:rPr>
            </w:pPr>
            <w:r>
              <w:rPr>
                <w:rFonts w:hint="eastAsia" w:ascii="宋体" w:hAnsi="宋体" w:eastAsia="宋体" w:cs="微软雅黑"/>
                <w:color w:val="auto"/>
                <w:sz w:val="21"/>
                <w:szCs w:val="21"/>
                <w:highlight w:val="none"/>
              </w:rPr>
              <w:t>响应性评审标准</w:t>
            </w:r>
          </w:p>
        </w:tc>
        <w:tc>
          <w:tcPr>
            <w:tcW w:w="2218" w:type="dxa"/>
            <w:tcBorders>
              <w:top w:val="single" w:color="000000" w:sz="4" w:space="0"/>
              <w:left w:val="single" w:color="auto" w:sz="4" w:space="0"/>
              <w:right w:val="single" w:color="auto"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投标内容</w:t>
            </w:r>
          </w:p>
        </w:tc>
        <w:tc>
          <w:tcPr>
            <w:tcW w:w="6034" w:type="dxa"/>
            <w:tcBorders>
              <w:top w:val="single" w:color="000000" w:sz="4" w:space="0"/>
              <w:left w:val="single" w:color="auto"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 xml:space="preserve"> 1.3.1 </w:t>
            </w:r>
            <w:r>
              <w:rPr>
                <w:rFonts w:hint="eastAsia" w:ascii="宋体" w:hAnsi="宋体" w:eastAsia="宋体" w:cs="宋体"/>
                <w:color w:val="auto"/>
                <w:sz w:val="21"/>
                <w:highlight w:val="none"/>
              </w:rPr>
              <w:t>项规定</w:t>
            </w:r>
          </w:p>
        </w:tc>
      </w:tr>
      <w:tr>
        <w:tblPrEx>
          <w:tblCellMar>
            <w:top w:w="0" w:type="dxa"/>
            <w:left w:w="108" w:type="dxa"/>
            <w:bottom w:w="0" w:type="dxa"/>
            <w:right w:w="108" w:type="dxa"/>
          </w:tblCellMar>
        </w:tblPrEx>
        <w:trPr>
          <w:trHeight w:val="311"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hint="eastAsia"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default" w:ascii="Times New Roman" w:hAnsi="Times New Roman" w:eastAsia="宋体" w:cs="Arial"/>
                <w:color w:val="auto"/>
                <w:highlight w:val="none"/>
                <w:lang w:val="en-US" w:eastAsia="zh-CN"/>
              </w:rPr>
            </w:pPr>
            <w:r>
              <w:rPr>
                <w:rFonts w:hint="eastAsia" w:ascii="宋体" w:hAnsi="宋体" w:eastAsia="宋体" w:cs="宋体"/>
                <w:color w:val="auto"/>
                <w:sz w:val="21"/>
                <w:highlight w:val="none"/>
                <w:lang w:val="en-US" w:eastAsia="zh-CN"/>
              </w:rPr>
              <w:t>服务期限</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 xml:space="preserve"> 1.3.2 </w:t>
            </w:r>
            <w:r>
              <w:rPr>
                <w:rFonts w:hint="eastAsia" w:ascii="宋体" w:hAnsi="宋体" w:eastAsia="宋体" w:cs="宋体"/>
                <w:color w:val="auto"/>
                <w:sz w:val="21"/>
                <w:highlight w:val="none"/>
              </w:rPr>
              <w:t>项规定</w:t>
            </w:r>
          </w:p>
        </w:tc>
      </w:tr>
      <w:tr>
        <w:tblPrEx>
          <w:tblCellMar>
            <w:top w:w="0" w:type="dxa"/>
            <w:left w:w="108" w:type="dxa"/>
            <w:bottom w:w="0" w:type="dxa"/>
            <w:right w:w="108" w:type="dxa"/>
          </w:tblCellMar>
        </w:tblPrEx>
        <w:trPr>
          <w:trHeight w:val="263"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投标有效期</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ascii="Times New Roman" w:hAnsi="Times New Roman" w:eastAsia="宋体" w:cs="Arial"/>
                <w:color w:val="auto"/>
                <w:highlight w:val="none"/>
              </w:rPr>
            </w:pPr>
            <w:r>
              <w:rPr>
                <w:rFonts w:hint="eastAsia" w:ascii="宋体" w:hAnsi="宋体" w:eastAsia="宋体" w:cs="宋体"/>
                <w:color w:val="auto"/>
                <w:sz w:val="21"/>
                <w:highlight w:val="none"/>
              </w:rPr>
              <w:t>符合第二章“投标人须知”第</w:t>
            </w:r>
            <w:r>
              <w:rPr>
                <w:rFonts w:ascii="宋体" w:hAnsi="宋体" w:eastAsia="宋体" w:cs="宋体"/>
                <w:color w:val="auto"/>
                <w:sz w:val="21"/>
                <w:highlight w:val="none"/>
              </w:rPr>
              <w:t xml:space="preserve"> 3.3.1 </w:t>
            </w:r>
            <w:r>
              <w:rPr>
                <w:rFonts w:hint="eastAsia" w:ascii="宋体" w:hAnsi="宋体" w:eastAsia="宋体" w:cs="宋体"/>
                <w:color w:val="auto"/>
                <w:sz w:val="21"/>
                <w:highlight w:val="none"/>
              </w:rPr>
              <w:t>项规定</w:t>
            </w:r>
          </w:p>
        </w:tc>
      </w:tr>
      <w:tr>
        <w:tblPrEx>
          <w:tblCellMar>
            <w:top w:w="0" w:type="dxa"/>
            <w:left w:w="108" w:type="dxa"/>
            <w:bottom w:w="0" w:type="dxa"/>
            <w:right w:w="108" w:type="dxa"/>
          </w:tblCellMar>
        </w:tblPrEx>
        <w:trPr>
          <w:trHeight w:val="20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投标保证金</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投标人按照招标文件的规定提供了投标保证金：</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a.投标保证金金额符合招标文件规定的金额，且投标保证金有效期不少于投标有效期；</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b.若投标保证金采用电汇或转账形式提交，投标人应在递交投标文件截止时间之前，将投标保证金由投标人的基本账户转入招标人指定账户；</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ascii="Times New Roman" w:hAnsi="Times New Roman" w:eastAsia="宋体" w:cs="Arial"/>
                <w:color w:val="auto"/>
                <w:highlight w:val="none"/>
              </w:rPr>
            </w:pPr>
            <w:r>
              <w:rPr>
                <w:rFonts w:hint="eastAsia" w:ascii="宋体" w:hAnsi="宋体" w:eastAsia="宋体" w:cs="宋体"/>
                <w:color w:val="auto"/>
                <w:highlight w:val="none"/>
              </w:rPr>
              <w:t>c.若投标保证金采用银行保函形式提交，银行保函的格式、开具保函的银行均满足招标文件要求，且在递交投标文件截止时间之前向招标人提交了银行保函原件。</w:t>
            </w:r>
          </w:p>
        </w:tc>
      </w:tr>
      <w:tr>
        <w:tblPrEx>
          <w:tblCellMar>
            <w:top w:w="0" w:type="dxa"/>
            <w:left w:w="108" w:type="dxa"/>
            <w:bottom w:w="0" w:type="dxa"/>
            <w:right w:w="108" w:type="dxa"/>
          </w:tblCellMar>
        </w:tblPrEx>
        <w:trPr>
          <w:trHeight w:val="20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投标文件提交</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rPr>
            </w:pPr>
            <w:r>
              <w:rPr>
                <w:rFonts w:hint="eastAsia"/>
                <w:color w:val="auto"/>
                <w:highlight w:val="none"/>
              </w:rPr>
              <w:t>同一投标人未提交两个以上不同的投标文件</w:t>
            </w:r>
          </w:p>
        </w:tc>
      </w:tr>
      <w:tr>
        <w:tblPrEx>
          <w:tblCellMar>
            <w:top w:w="0" w:type="dxa"/>
            <w:left w:w="108" w:type="dxa"/>
            <w:bottom w:w="0" w:type="dxa"/>
            <w:right w:w="108" w:type="dxa"/>
          </w:tblCellMar>
        </w:tblPrEx>
        <w:trPr>
          <w:trHeight w:val="20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投标报价</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highlight w:val="none"/>
              </w:rPr>
            </w:pPr>
            <w:r>
              <w:rPr>
                <w:rFonts w:hint="eastAsia"/>
                <w:color w:val="auto"/>
                <w:highlight w:val="none"/>
              </w:rPr>
              <w:t>投标文件中未出现有关投标报价的内容。</w:t>
            </w:r>
          </w:p>
        </w:tc>
      </w:tr>
      <w:tr>
        <w:tblPrEx>
          <w:tblCellMar>
            <w:top w:w="0" w:type="dxa"/>
            <w:left w:w="108" w:type="dxa"/>
            <w:bottom w:w="0" w:type="dxa"/>
            <w:right w:w="108" w:type="dxa"/>
          </w:tblCellMar>
        </w:tblPrEx>
        <w:trPr>
          <w:trHeight w:val="20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投标响应</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rPr>
            </w:pPr>
            <w:r>
              <w:rPr>
                <w:rFonts w:hint="eastAsia"/>
                <w:color w:val="auto"/>
                <w:highlight w:val="none"/>
              </w:rPr>
              <w:t>投标文件对招标文件的实质性要求和条件作出响应</w:t>
            </w:r>
          </w:p>
        </w:tc>
      </w:tr>
      <w:tr>
        <w:tblPrEx>
          <w:tblCellMar>
            <w:top w:w="0" w:type="dxa"/>
            <w:left w:w="108" w:type="dxa"/>
            <w:bottom w:w="0" w:type="dxa"/>
            <w:right w:w="108" w:type="dxa"/>
          </w:tblCellMar>
        </w:tblPrEx>
        <w:trPr>
          <w:trHeight w:val="540"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ascii="宋体" w:hAnsi="宋体" w:eastAsia="宋体" w:cs="宋体"/>
                <w:color w:val="auto"/>
                <w:sz w:val="21"/>
                <w:szCs w:val="21"/>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spacing w:before="82"/>
              <w:jc w:val="center"/>
              <w:rPr>
                <w:rFonts w:hint="eastAsia" w:ascii="宋体" w:hAnsi="宋体" w:eastAsia="宋体" w:cs="微软雅黑"/>
                <w:color w:val="auto"/>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ascii="Times New Roman" w:hAnsi="Times New Roman" w:eastAsia="宋体" w:cs="Arial"/>
                <w:color w:val="auto"/>
                <w:highlight w:val="none"/>
              </w:rPr>
            </w:pPr>
            <w:r>
              <w:rPr>
                <w:rFonts w:hint="eastAsia" w:ascii="宋体" w:hAnsi="宋体" w:eastAsia="宋体" w:cs="宋体"/>
                <w:color w:val="auto"/>
                <w:sz w:val="21"/>
                <w:highlight w:val="none"/>
              </w:rPr>
              <w:t>权利义务</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3060"/>
              </w:tabs>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权利义务符合招标文件规定：</w:t>
            </w:r>
          </w:p>
          <w:p>
            <w:pPr>
              <w:keepNext w:val="0"/>
              <w:keepLines w:val="0"/>
              <w:pageBreakBefore w:val="0"/>
              <w:widowControl w:val="0"/>
              <w:tabs>
                <w:tab w:val="left" w:pos="3060"/>
              </w:tabs>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pPr>
              <w:keepNext w:val="0"/>
              <w:keepLines w:val="0"/>
              <w:pageBreakBefore w:val="0"/>
              <w:widowControl w:val="0"/>
              <w:tabs>
                <w:tab w:val="left" w:pos="3060"/>
              </w:tabs>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c.投标人未提出不同的支付办法；</w:t>
            </w:r>
          </w:p>
          <w:p>
            <w:pPr>
              <w:keepNext w:val="0"/>
              <w:keepLines w:val="0"/>
              <w:pageBreakBefore w:val="0"/>
              <w:widowControl w:val="0"/>
              <w:tabs>
                <w:tab w:val="left" w:pos="3060"/>
              </w:tabs>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pPr>
              <w:keepNext w:val="0"/>
              <w:keepLines w:val="0"/>
              <w:pageBreakBefore w:val="0"/>
              <w:widowControl w:val="0"/>
              <w:tabs>
                <w:tab w:val="left" w:pos="3060"/>
              </w:tabs>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pPr>
              <w:keepNext w:val="0"/>
              <w:keepLines w:val="0"/>
              <w:pageBreakBefore w:val="0"/>
              <w:widowControl w:val="0"/>
              <w:kinsoku/>
              <w:wordWrap/>
              <w:overflowPunct/>
              <w:topLinePunct w:val="0"/>
              <w:autoSpaceDE/>
              <w:autoSpaceDN/>
              <w:bidi w:val="0"/>
              <w:adjustRightInd/>
              <w:snapToGrid w:val="0"/>
              <w:spacing w:line="300" w:lineRule="exact"/>
              <w:ind w:firstLine="210" w:firstLineChars="100"/>
              <w:textAlignment w:val="auto"/>
              <w:rPr>
                <w:rFonts w:ascii="Times New Roman" w:hAnsi="Times New Roman" w:eastAsia="宋体" w:cs="Arial"/>
                <w:color w:val="auto"/>
                <w:highlight w:val="none"/>
              </w:rPr>
            </w:pPr>
            <w:r>
              <w:rPr>
                <w:rFonts w:hint="eastAsia" w:ascii="宋体" w:hAnsi="宋体" w:eastAsia="宋体" w:cs="宋体"/>
                <w:color w:val="auto"/>
                <w:highlight w:val="none"/>
              </w:rPr>
              <w:t>f.投标人未对合同条款有重要保留。</w:t>
            </w:r>
          </w:p>
        </w:tc>
      </w:tr>
      <w:tr>
        <w:tblPrEx>
          <w:tblCellMar>
            <w:top w:w="0" w:type="dxa"/>
            <w:left w:w="108" w:type="dxa"/>
            <w:bottom w:w="0" w:type="dxa"/>
            <w:right w:w="108" w:type="dxa"/>
          </w:tblCellMar>
        </w:tblPrEx>
        <w:trPr>
          <w:trHeight w:val="247" w:hRule="atLeast"/>
          <w:jc w:val="center"/>
        </w:trPr>
        <w:tc>
          <w:tcPr>
            <w:tcW w:w="97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微软雅黑"/>
                <w:b/>
                <w:color w:val="auto"/>
                <w:szCs w:val="21"/>
                <w:highlight w:val="none"/>
              </w:rPr>
            </w:pPr>
            <w:r>
              <w:rPr>
                <w:rFonts w:hint="eastAsia"/>
                <w:color w:val="auto"/>
                <w:sz w:val="21"/>
                <w:szCs w:val="21"/>
                <w:highlight w:val="none"/>
              </w:rPr>
              <w:t>通过第一信封评审的全部进入第二信封</w:t>
            </w:r>
            <w:r>
              <w:rPr>
                <w:rFonts w:hint="eastAsia"/>
                <w:color w:val="auto"/>
                <w:sz w:val="21"/>
                <w:szCs w:val="21"/>
                <w:highlight w:val="none"/>
                <w:lang w:eastAsia="zh-CN"/>
              </w:rPr>
              <w:t>。</w:t>
            </w:r>
          </w:p>
        </w:tc>
      </w:tr>
      <w:tr>
        <w:tblPrEx>
          <w:tblCellMar>
            <w:top w:w="0" w:type="dxa"/>
            <w:left w:w="108" w:type="dxa"/>
            <w:bottom w:w="0" w:type="dxa"/>
            <w:right w:w="108" w:type="dxa"/>
          </w:tblCellMar>
        </w:tblPrEx>
        <w:trPr>
          <w:trHeight w:val="247" w:hRule="atLeast"/>
          <w:jc w:val="center"/>
        </w:trPr>
        <w:tc>
          <w:tcPr>
            <w:tcW w:w="978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微软雅黑"/>
                <w:b/>
                <w:color w:val="auto"/>
                <w:szCs w:val="21"/>
                <w:highlight w:val="none"/>
              </w:rPr>
            </w:pPr>
            <w:r>
              <w:rPr>
                <w:rFonts w:hint="eastAsia" w:ascii="宋体" w:hAnsi="宋体" w:eastAsia="宋体" w:cs="微软雅黑"/>
                <w:b/>
                <w:color w:val="auto"/>
                <w:szCs w:val="21"/>
                <w:highlight w:val="none"/>
              </w:rPr>
              <w:t>第二个信封（报价文件）评审标准</w:t>
            </w:r>
          </w:p>
        </w:tc>
      </w:tr>
      <w:tr>
        <w:tblPrEx>
          <w:tblCellMar>
            <w:top w:w="0" w:type="dxa"/>
            <w:left w:w="108" w:type="dxa"/>
            <w:bottom w:w="0" w:type="dxa"/>
            <w:right w:w="108" w:type="dxa"/>
          </w:tblCellMar>
        </w:tblPrEx>
        <w:trPr>
          <w:trHeight w:val="247" w:hRule="atLeast"/>
          <w:jc w:val="center"/>
        </w:trPr>
        <w:tc>
          <w:tcPr>
            <w:tcW w:w="820" w:type="dxa"/>
            <w:vMerge w:val="restart"/>
            <w:tcBorders>
              <w:top w:val="single" w:color="000000" w:sz="4" w:space="0"/>
              <w:left w:val="single" w:color="000000" w:sz="4" w:space="0"/>
              <w:right w:val="single" w:color="auto" w:sz="4" w:space="0"/>
            </w:tcBorders>
            <w:noWrap w:val="0"/>
            <w:vAlign w:val="center"/>
          </w:tcPr>
          <w:p>
            <w:pPr>
              <w:autoSpaceDE w:val="0"/>
              <w:jc w:val="center"/>
              <w:rPr>
                <w:rFonts w:ascii="Times New Roman" w:hAnsi="Times New Roman" w:eastAsia="宋体" w:cs="Arial"/>
                <w:color w:val="auto"/>
                <w:highlight w:val="none"/>
              </w:rPr>
            </w:pPr>
            <w:r>
              <w:rPr>
                <w:rFonts w:ascii="宋体" w:hAnsi="宋体" w:eastAsia="宋体" w:cs="宋体"/>
                <w:color w:val="auto"/>
                <w:sz w:val="21"/>
                <w:szCs w:val="21"/>
                <w:highlight w:val="none"/>
              </w:rPr>
              <w:t>2.1.1</w:t>
            </w:r>
          </w:p>
          <w:p>
            <w:pPr>
              <w:pStyle w:val="10"/>
              <w:rPr>
                <w:rFonts w:hint="eastAsia" w:ascii="宋体" w:hAnsi="宋体" w:eastAsia="宋体" w:cs="微软雅黑"/>
                <w:b/>
                <w:color w:val="auto"/>
                <w:spacing w:val="2"/>
                <w:sz w:val="21"/>
                <w:szCs w:val="21"/>
                <w:highlight w:val="none"/>
              </w:rPr>
            </w:pPr>
            <w:r>
              <w:rPr>
                <w:rFonts w:hint="eastAsia" w:ascii="宋体" w:hAnsi="宋体" w:eastAsia="宋体" w:cs="宋体"/>
                <w:color w:val="auto"/>
                <w:sz w:val="21"/>
                <w:szCs w:val="21"/>
                <w:highlight w:val="none"/>
              </w:rPr>
              <w:t>2.1.3</w:t>
            </w:r>
          </w:p>
        </w:tc>
        <w:tc>
          <w:tcPr>
            <w:tcW w:w="709" w:type="dxa"/>
            <w:vMerge w:val="restart"/>
            <w:tcBorders>
              <w:top w:val="single" w:color="000000" w:sz="4" w:space="0"/>
              <w:left w:val="single" w:color="auto" w:sz="4" w:space="0"/>
              <w:right w:val="single" w:color="000000" w:sz="4" w:space="0"/>
            </w:tcBorders>
            <w:noWrap w:val="0"/>
            <w:vAlign w:val="center"/>
          </w:tcPr>
          <w:p>
            <w:pPr>
              <w:autoSpaceDE w:val="0"/>
              <w:jc w:val="center"/>
              <w:rPr>
                <w:rFonts w:hint="eastAsia" w:ascii="宋体" w:hAnsi="宋体" w:eastAsia="宋体" w:cs="微软雅黑"/>
                <w:b/>
                <w:color w:val="auto"/>
                <w:spacing w:val="2"/>
                <w:sz w:val="21"/>
                <w:szCs w:val="21"/>
                <w:highlight w:val="none"/>
              </w:rPr>
            </w:pPr>
            <w:r>
              <w:rPr>
                <w:rFonts w:hint="eastAsia" w:ascii="宋体" w:hAnsi="宋体" w:eastAsia="宋体" w:cs="微软雅黑"/>
                <w:color w:val="auto"/>
                <w:sz w:val="21"/>
                <w:szCs w:val="21"/>
                <w:highlight w:val="none"/>
              </w:rPr>
              <w:t>形式评审与响应性评审标准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eastAsia" w:ascii="宋体" w:hAnsi="宋体" w:eastAsia="宋体" w:cs="微软雅黑"/>
                <w:b/>
                <w:color w:val="auto"/>
                <w:sz w:val="21"/>
                <w:szCs w:val="21"/>
                <w:highlight w:val="none"/>
              </w:rPr>
            </w:pPr>
            <w:r>
              <w:rPr>
                <w:rFonts w:hint="eastAsia" w:ascii="宋体" w:hAnsi="宋体" w:eastAsia="宋体" w:cs="宋体"/>
                <w:color w:val="auto"/>
                <w:sz w:val="21"/>
                <w:highlight w:val="none"/>
              </w:rPr>
              <w:t>投标人名称</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rPr>
                <w:rFonts w:hint="eastAsia" w:ascii="宋体" w:hAnsi="宋体" w:eastAsia="宋体" w:cs="微软雅黑"/>
                <w:b/>
                <w:color w:val="auto"/>
                <w:szCs w:val="21"/>
                <w:highlight w:val="none"/>
              </w:rPr>
            </w:pPr>
            <w:r>
              <w:rPr>
                <w:rFonts w:hint="eastAsia" w:ascii="宋体" w:hAnsi="宋体" w:eastAsia="宋体" w:cs="宋体"/>
                <w:color w:val="auto"/>
                <w:sz w:val="21"/>
                <w:highlight w:val="none"/>
              </w:rPr>
              <w:t>与营业执照一致</w:t>
            </w:r>
          </w:p>
        </w:tc>
      </w:tr>
      <w:tr>
        <w:tblPrEx>
          <w:tblCellMar>
            <w:top w:w="0" w:type="dxa"/>
            <w:left w:w="108" w:type="dxa"/>
            <w:bottom w:w="0" w:type="dxa"/>
            <w:right w:w="108" w:type="dxa"/>
          </w:tblCellMar>
        </w:tblPrEx>
        <w:trPr>
          <w:trHeight w:val="247" w:hRule="atLeast"/>
          <w:jc w:val="center"/>
        </w:trPr>
        <w:tc>
          <w:tcPr>
            <w:tcW w:w="820" w:type="dxa"/>
            <w:vMerge w:val="continue"/>
            <w:tcBorders>
              <w:left w:val="single" w:color="000000" w:sz="4" w:space="0"/>
              <w:right w:val="single" w:color="auto" w:sz="4" w:space="0"/>
            </w:tcBorders>
            <w:noWrap w:val="0"/>
            <w:vAlign w:val="center"/>
          </w:tcPr>
          <w:p>
            <w:pPr>
              <w:autoSpaceDE w:val="0"/>
              <w:ind w:right="-20"/>
              <w:jc w:val="center"/>
              <w:rPr>
                <w:rFonts w:hint="eastAsia" w:ascii="宋体" w:hAnsi="宋体" w:eastAsia="宋体" w:cs="微软雅黑"/>
                <w:b/>
                <w:color w:val="auto"/>
                <w:spacing w:val="2"/>
                <w:sz w:val="21"/>
                <w:szCs w:val="21"/>
                <w:highlight w:val="none"/>
              </w:rPr>
            </w:pPr>
          </w:p>
        </w:tc>
        <w:tc>
          <w:tcPr>
            <w:tcW w:w="709" w:type="dxa"/>
            <w:vMerge w:val="continue"/>
            <w:tcBorders>
              <w:left w:val="single" w:color="auto" w:sz="4" w:space="0"/>
              <w:right w:val="single" w:color="000000" w:sz="4" w:space="0"/>
            </w:tcBorders>
            <w:noWrap w:val="0"/>
            <w:vAlign w:val="center"/>
          </w:tcPr>
          <w:p>
            <w:pPr>
              <w:autoSpaceDE w:val="0"/>
              <w:ind w:right="-20"/>
              <w:jc w:val="center"/>
              <w:rPr>
                <w:rFonts w:hint="eastAsia" w:ascii="宋体" w:hAnsi="宋体" w:eastAsia="宋体" w:cs="微软雅黑"/>
                <w:b/>
                <w:color w:val="auto"/>
                <w:spacing w:val="2"/>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eastAsia" w:ascii="宋体" w:hAnsi="宋体" w:eastAsia="宋体" w:cs="微软雅黑"/>
                <w:b/>
                <w:color w:val="auto"/>
                <w:sz w:val="21"/>
                <w:szCs w:val="21"/>
                <w:highlight w:val="none"/>
              </w:rPr>
            </w:pPr>
            <w:r>
              <w:rPr>
                <w:rFonts w:hint="eastAsia" w:ascii="宋体" w:hAnsi="宋体" w:eastAsia="宋体" w:cs="宋体"/>
                <w:color w:val="auto"/>
                <w:sz w:val="21"/>
                <w:highlight w:val="none"/>
              </w:rPr>
              <w:t>报价文件签字盖章</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第六章“投标文件格式”中要求盖单位章和（或）法定代表人或其委托代理人签字的地方，投标人均应使用CA 数字证书加盖投标人的单位电子印章和（或）法定代表人或其委托代理人的个人电子印章或电子签名章，无需手签。</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投标人法定代表人授权委托代理人签署投标文件的，须提交授权委托书，授权委托书的签字盖章符合招标文件规定，授权委托书只能授权给一名委托代理人。 </w:t>
            </w:r>
          </w:p>
          <w:p>
            <w:pPr>
              <w:widowControl w:val="0"/>
              <w:snapToGrid w:val="0"/>
              <w:spacing w:line="300" w:lineRule="exact"/>
              <w:rPr>
                <w:rFonts w:hint="eastAsia" w:ascii="宋体" w:hAnsi="宋体" w:eastAsia="宋体" w:cs="微软雅黑"/>
                <w:b/>
                <w:color w:val="auto"/>
                <w:szCs w:val="21"/>
                <w:highlight w:val="none"/>
              </w:rPr>
            </w:pPr>
            <w:r>
              <w:rPr>
                <w:rFonts w:hint="eastAsia" w:ascii="宋体" w:hAnsi="宋体" w:eastAsia="宋体" w:cs="宋体"/>
                <w:color w:val="auto"/>
                <w:sz w:val="21"/>
                <w:szCs w:val="21"/>
                <w:highlight w:val="none"/>
              </w:rPr>
              <w:t>投标人法定代表人亲自签署投标文件的，提供了法定代表人身份证明，法定代表人身份证明的签字盖章符合招标文件规定</w:t>
            </w:r>
            <w:r>
              <w:rPr>
                <w:rFonts w:hint="eastAsia" w:ascii="宋体" w:hAnsi="宋体" w:eastAsia="宋体" w:cs="宋体"/>
                <w:color w:val="auto"/>
                <w:spacing w:val="-1"/>
                <w:sz w:val="21"/>
                <w:szCs w:val="21"/>
                <w:highlight w:val="none"/>
              </w:rPr>
              <w:t>。</w:t>
            </w:r>
          </w:p>
        </w:tc>
      </w:tr>
      <w:tr>
        <w:tblPrEx>
          <w:tblCellMar>
            <w:top w:w="0" w:type="dxa"/>
            <w:left w:w="108" w:type="dxa"/>
            <w:bottom w:w="0" w:type="dxa"/>
            <w:right w:w="108" w:type="dxa"/>
          </w:tblCellMar>
        </w:tblPrEx>
        <w:trPr>
          <w:trHeight w:val="247" w:hRule="atLeast"/>
          <w:jc w:val="center"/>
        </w:trPr>
        <w:tc>
          <w:tcPr>
            <w:tcW w:w="820" w:type="dxa"/>
            <w:vMerge w:val="continue"/>
            <w:tcBorders>
              <w:left w:val="single" w:color="000000" w:sz="4" w:space="0"/>
              <w:right w:val="single" w:color="auto" w:sz="4" w:space="0"/>
            </w:tcBorders>
            <w:noWrap w:val="0"/>
            <w:vAlign w:val="center"/>
          </w:tcPr>
          <w:p>
            <w:pPr>
              <w:autoSpaceDE w:val="0"/>
              <w:ind w:right="-20"/>
              <w:jc w:val="center"/>
              <w:rPr>
                <w:rFonts w:hint="eastAsia" w:ascii="宋体" w:hAnsi="宋体" w:eastAsia="宋体" w:cs="微软雅黑"/>
                <w:b/>
                <w:color w:val="auto"/>
                <w:spacing w:val="2"/>
                <w:sz w:val="21"/>
                <w:szCs w:val="21"/>
                <w:highlight w:val="none"/>
              </w:rPr>
            </w:pPr>
          </w:p>
        </w:tc>
        <w:tc>
          <w:tcPr>
            <w:tcW w:w="709" w:type="dxa"/>
            <w:vMerge w:val="continue"/>
            <w:tcBorders>
              <w:left w:val="single" w:color="auto" w:sz="4" w:space="0"/>
              <w:right w:val="single" w:color="000000" w:sz="4" w:space="0"/>
            </w:tcBorders>
            <w:noWrap w:val="0"/>
            <w:vAlign w:val="center"/>
          </w:tcPr>
          <w:p>
            <w:pPr>
              <w:autoSpaceDE w:val="0"/>
              <w:ind w:right="-20"/>
              <w:jc w:val="center"/>
              <w:rPr>
                <w:rFonts w:hint="eastAsia" w:ascii="宋体" w:hAnsi="宋体" w:eastAsia="宋体" w:cs="微软雅黑"/>
                <w:b/>
                <w:color w:val="auto"/>
                <w:spacing w:val="2"/>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eastAsia" w:ascii="宋体" w:hAnsi="宋体" w:eastAsia="宋体" w:cs="微软雅黑"/>
                <w:b/>
                <w:color w:val="auto"/>
                <w:sz w:val="21"/>
                <w:szCs w:val="21"/>
                <w:highlight w:val="none"/>
              </w:rPr>
            </w:pPr>
            <w:r>
              <w:rPr>
                <w:rFonts w:hint="eastAsia" w:ascii="宋体" w:hAnsi="宋体" w:eastAsia="宋体" w:cs="宋体"/>
                <w:color w:val="auto"/>
                <w:sz w:val="21"/>
                <w:highlight w:val="none"/>
              </w:rPr>
              <w:t>投标文件格式</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sz w:val="21"/>
                <w:highlight w:val="none"/>
              </w:rPr>
              <w:t>符合第六章“投标文件格式”的规定</w:t>
            </w:r>
            <w:r>
              <w:rPr>
                <w:rFonts w:hint="eastAsia" w:ascii="宋体" w:hAnsi="宋体" w:eastAsia="宋体" w:cs="宋体"/>
                <w:color w:val="auto"/>
                <w:sz w:val="21"/>
                <w:highlight w:val="none"/>
                <w:lang w:eastAsia="zh-CN"/>
              </w:rPr>
              <w:t>，</w:t>
            </w:r>
            <w:r>
              <w:rPr>
                <w:rFonts w:hint="eastAsia" w:ascii="宋体" w:hAnsi="宋体" w:eastAsia="宋体" w:cs="宋体"/>
                <w:color w:val="auto"/>
                <w:highlight w:val="none"/>
              </w:rPr>
              <w:t>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a.投标函按招标文件规定填报了项目名称、补遗书编号（如有）、投标价（包括大写金额和小写金额）；</w:t>
            </w:r>
          </w:p>
          <w:p>
            <w:pPr>
              <w:pStyle w:val="2"/>
              <w:keepNext w:val="0"/>
              <w:keepLines w:val="0"/>
              <w:pageBreakBefore w:val="0"/>
              <w:widowControl w:val="0"/>
              <w:kinsoku/>
              <w:wordWrap/>
              <w:overflowPunct/>
              <w:topLinePunct w:val="0"/>
              <w:autoSpaceDE/>
              <w:autoSpaceDN/>
              <w:bidi w:val="0"/>
              <w:adjustRightInd/>
              <w:snapToGrid w:val="0"/>
              <w:spacing w:line="300" w:lineRule="exact"/>
              <w:ind w:firstLine="420" w:firstLineChars="200"/>
              <w:textAlignment w:val="auto"/>
              <w:rPr>
                <w:rFonts w:hint="eastAsia" w:ascii="宋体" w:hAnsi="宋体" w:eastAsia="宋体" w:cs="宋体"/>
                <w:b/>
                <w:color w:val="auto"/>
                <w:szCs w:val="21"/>
                <w:highlight w:val="none"/>
                <w:lang w:eastAsia="zh-CN"/>
              </w:rPr>
            </w:pPr>
            <w:r>
              <w:rPr>
                <w:rFonts w:hint="eastAsia" w:ascii="宋体" w:hAnsi="宋体" w:eastAsia="宋体" w:cs="宋体"/>
                <w:color w:val="auto"/>
                <w:sz w:val="21"/>
                <w:szCs w:val="21"/>
                <w:highlight w:val="none"/>
              </w:rPr>
              <w:t>b．投标文件组成齐全完整，内容均按规定填写。</w:t>
            </w:r>
          </w:p>
        </w:tc>
      </w:tr>
      <w:tr>
        <w:tblPrEx>
          <w:tblCellMar>
            <w:top w:w="0" w:type="dxa"/>
            <w:left w:w="108" w:type="dxa"/>
            <w:bottom w:w="0" w:type="dxa"/>
            <w:right w:w="108" w:type="dxa"/>
          </w:tblCellMar>
        </w:tblPrEx>
        <w:trPr>
          <w:trHeight w:val="247" w:hRule="atLeast"/>
          <w:jc w:val="center"/>
        </w:trPr>
        <w:tc>
          <w:tcPr>
            <w:tcW w:w="820" w:type="dxa"/>
            <w:vMerge w:val="continue"/>
            <w:tcBorders>
              <w:left w:val="single" w:color="000000" w:sz="4" w:space="0"/>
              <w:bottom w:val="single" w:color="000000" w:sz="4" w:space="0"/>
              <w:right w:val="single" w:color="auto" w:sz="4" w:space="0"/>
            </w:tcBorders>
            <w:noWrap w:val="0"/>
            <w:vAlign w:val="center"/>
          </w:tcPr>
          <w:p>
            <w:pPr>
              <w:autoSpaceDE w:val="0"/>
              <w:ind w:right="-20"/>
              <w:jc w:val="center"/>
              <w:rPr>
                <w:rFonts w:hint="eastAsia" w:ascii="宋体" w:hAnsi="宋体" w:eastAsia="宋体" w:cs="微软雅黑"/>
                <w:b/>
                <w:color w:val="auto"/>
                <w:spacing w:val="2"/>
                <w:sz w:val="21"/>
                <w:szCs w:val="21"/>
                <w:highlight w:val="none"/>
              </w:rPr>
            </w:pPr>
          </w:p>
        </w:tc>
        <w:tc>
          <w:tcPr>
            <w:tcW w:w="709" w:type="dxa"/>
            <w:vMerge w:val="continue"/>
            <w:tcBorders>
              <w:left w:val="single" w:color="auto" w:sz="4" w:space="0"/>
              <w:bottom w:val="single" w:color="000000" w:sz="4" w:space="0"/>
              <w:right w:val="single" w:color="000000" w:sz="4" w:space="0"/>
            </w:tcBorders>
            <w:noWrap w:val="0"/>
            <w:vAlign w:val="center"/>
          </w:tcPr>
          <w:p>
            <w:pPr>
              <w:autoSpaceDE w:val="0"/>
              <w:ind w:right="-20"/>
              <w:jc w:val="center"/>
              <w:rPr>
                <w:rFonts w:hint="eastAsia" w:ascii="宋体" w:hAnsi="宋体" w:eastAsia="宋体" w:cs="微软雅黑"/>
                <w:b/>
                <w:color w:val="auto"/>
                <w:spacing w:val="2"/>
                <w:sz w:val="21"/>
                <w:szCs w:val="21"/>
                <w:highlight w:val="none"/>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eastAsia" w:ascii="宋体" w:hAnsi="宋体" w:eastAsia="宋体" w:cs="微软雅黑"/>
                <w:b/>
                <w:color w:val="auto"/>
                <w:sz w:val="21"/>
                <w:szCs w:val="21"/>
                <w:highlight w:val="none"/>
              </w:rPr>
            </w:pPr>
            <w:r>
              <w:rPr>
                <w:rFonts w:hint="eastAsia" w:ascii="宋体" w:hAnsi="宋体" w:eastAsia="宋体" w:cs="宋体"/>
                <w:color w:val="auto"/>
                <w:sz w:val="21"/>
                <w:highlight w:val="none"/>
              </w:rPr>
              <w:t>投标报价</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3.2 款规定。</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投标报价中的报价未超过招标文件设定的最高投标限价。</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）投标报价中报价的大写金额能够确定具体数值。</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）同一投标人未提交两个以上不同的投标报价。</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）报价清单中的投标报价与投标函大写金额一致。</w:t>
            </w:r>
          </w:p>
        </w:tc>
      </w:tr>
      <w:tr>
        <w:tblPrEx>
          <w:tblCellMar>
            <w:top w:w="0" w:type="dxa"/>
            <w:left w:w="108" w:type="dxa"/>
            <w:bottom w:w="0" w:type="dxa"/>
            <w:right w:w="108" w:type="dxa"/>
          </w:tblCellMar>
        </w:tblPrEx>
        <w:trPr>
          <w:trHeight w:val="247" w:hRule="atLeast"/>
          <w:jc w:val="center"/>
        </w:trPr>
        <w:tc>
          <w:tcPr>
            <w:tcW w:w="152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ind w:right="-20"/>
              <w:jc w:val="center"/>
              <w:rPr>
                <w:rFonts w:ascii="Times New Roman" w:hAnsi="Times New Roman" w:eastAsia="宋体" w:cs="Arial"/>
                <w:color w:val="auto"/>
                <w:highlight w:val="none"/>
              </w:rPr>
            </w:pPr>
            <w:r>
              <w:rPr>
                <w:rFonts w:hint="eastAsia" w:ascii="宋体" w:hAnsi="宋体" w:eastAsia="宋体" w:cs="微软雅黑"/>
                <w:b/>
                <w:color w:val="auto"/>
                <w:spacing w:val="2"/>
                <w:sz w:val="21"/>
                <w:szCs w:val="21"/>
                <w:highlight w:val="none"/>
              </w:rPr>
              <w:t>条款号</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Arial"/>
                <w:color w:val="auto"/>
                <w:highlight w:val="none"/>
              </w:rPr>
            </w:pPr>
            <w:r>
              <w:rPr>
                <w:rFonts w:hint="eastAsia" w:ascii="宋体" w:hAnsi="宋体" w:eastAsia="宋体" w:cs="微软雅黑"/>
                <w:b/>
                <w:color w:val="auto"/>
                <w:sz w:val="21"/>
                <w:szCs w:val="21"/>
                <w:highlight w:val="none"/>
              </w:rPr>
              <w:t>价格调整因素</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Arial"/>
                <w:b/>
                <w:color w:val="auto"/>
                <w:highlight w:val="none"/>
              </w:rPr>
            </w:pPr>
            <w:r>
              <w:rPr>
                <w:rFonts w:hint="eastAsia" w:ascii="宋体" w:hAnsi="宋体" w:eastAsia="宋体" w:cs="微软雅黑"/>
                <w:b/>
                <w:color w:val="auto"/>
                <w:szCs w:val="21"/>
                <w:highlight w:val="none"/>
              </w:rPr>
              <w:t>价格调整标准</w:t>
            </w:r>
          </w:p>
        </w:tc>
      </w:tr>
      <w:tr>
        <w:tblPrEx>
          <w:tblCellMar>
            <w:top w:w="0" w:type="dxa"/>
            <w:left w:w="108" w:type="dxa"/>
            <w:bottom w:w="0" w:type="dxa"/>
            <w:right w:w="108" w:type="dxa"/>
          </w:tblCellMar>
        </w:tblPrEx>
        <w:trPr>
          <w:trHeight w:val="247"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hint="eastAsia" w:ascii="宋体" w:hAnsi="宋体" w:eastAsia="宋体" w:cs="微软雅黑"/>
                <w:color w:val="auto"/>
                <w:sz w:val="21"/>
                <w:szCs w:val="21"/>
                <w:highlight w:val="none"/>
              </w:rPr>
            </w:pPr>
            <w:r>
              <w:rPr>
                <w:rFonts w:hint="eastAsia" w:ascii="宋体" w:hAnsi="宋体" w:eastAsia="宋体" w:cs="微软雅黑"/>
                <w:color w:val="auto"/>
                <w:sz w:val="21"/>
                <w:szCs w:val="21"/>
                <w:highlight w:val="none"/>
              </w:rPr>
              <w:t>详细评审标准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CellMar>
            <w:top w:w="0" w:type="dxa"/>
            <w:left w:w="108" w:type="dxa"/>
            <w:bottom w:w="0" w:type="dxa"/>
            <w:right w:w="108" w:type="dxa"/>
          </w:tblCellMar>
        </w:tblPrEx>
        <w:trPr>
          <w:trHeight w:val="447" w:hRule="atLeast"/>
          <w:jc w:val="center"/>
        </w:trPr>
        <w:tc>
          <w:tcPr>
            <w:tcW w:w="978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300" w:lineRule="exact"/>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lang w:val="en-US" w:eastAsia="zh-CN"/>
              </w:rPr>
              <w:t>增加</w:t>
            </w:r>
          </w:p>
        </w:tc>
      </w:tr>
      <w:tr>
        <w:tblPrEx>
          <w:tblCellMar>
            <w:top w:w="0" w:type="dxa"/>
            <w:left w:w="108" w:type="dxa"/>
            <w:bottom w:w="0" w:type="dxa"/>
            <w:right w:w="108" w:type="dxa"/>
          </w:tblCellMar>
        </w:tblPrEx>
        <w:trPr>
          <w:trHeight w:val="614" w:hRule="atLeast"/>
          <w:jc w:val="center"/>
        </w:trPr>
        <w:tc>
          <w:tcPr>
            <w:tcW w:w="820" w:type="dxa"/>
            <w:tcBorders>
              <w:top w:val="single" w:color="000000" w:sz="4" w:space="0"/>
              <w:left w:val="single" w:color="000000" w:sz="4" w:space="0"/>
              <w:bottom w:val="single" w:color="000000" w:sz="4" w:space="0"/>
              <w:right w:val="single" w:color="000000" w:sz="4" w:space="0"/>
            </w:tcBorders>
            <w:noWrap w:val="0"/>
            <w:vAlign w:val="center"/>
          </w:tcPr>
          <w:p>
            <w:pPr>
              <w:autoSpaceDE w:val="0"/>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增加3.5</w:t>
            </w:r>
          </w:p>
        </w:tc>
        <w:tc>
          <w:tcPr>
            <w:tcW w:w="896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rPr>
                <w:rFonts w:hint="eastAsia" w:ascii="宋体" w:hAnsi="宋体" w:cs="宋体"/>
                <w:color w:val="auto"/>
                <w:szCs w:val="21"/>
                <w:highlight w:val="none"/>
              </w:rPr>
            </w:pPr>
            <w:r>
              <w:rPr>
                <w:rFonts w:hint="eastAsia" w:ascii="宋体" w:hAnsi="宋体" w:cs="宋体"/>
                <w:color w:val="auto"/>
                <w:szCs w:val="21"/>
                <w:highlight w:val="none"/>
              </w:rPr>
              <w:t>在评标过程中，评标委员会应对以下信息进行查询：</w:t>
            </w:r>
          </w:p>
          <w:p>
            <w:pPr>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32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color w:val="auto"/>
                <w:szCs w:val="21"/>
                <w:highlight w:val="none"/>
              </w:rPr>
              <w:t>若投标人未提供相关网页截图或所附截图与核查结果不一致使得不符合招标文件规定的，评标委员会应否决其投标。</w:t>
            </w:r>
          </w:p>
        </w:tc>
      </w:tr>
      <w:tr>
        <w:tblPrEx>
          <w:tblCellMar>
            <w:top w:w="0" w:type="dxa"/>
            <w:left w:w="108" w:type="dxa"/>
            <w:bottom w:w="0" w:type="dxa"/>
            <w:right w:w="108" w:type="dxa"/>
          </w:tblCellMar>
        </w:tblPrEx>
        <w:trPr>
          <w:trHeight w:val="614" w:hRule="atLeast"/>
          <w:jc w:val="center"/>
        </w:trPr>
        <w:tc>
          <w:tcPr>
            <w:tcW w:w="820" w:type="dxa"/>
            <w:tcBorders>
              <w:top w:val="single" w:color="000000" w:sz="4" w:space="0"/>
              <w:left w:val="single" w:color="000000" w:sz="4" w:space="0"/>
              <w:bottom w:val="single" w:color="auto" w:sz="4" w:space="0"/>
              <w:right w:val="single" w:color="000000" w:sz="4" w:space="0"/>
            </w:tcBorders>
            <w:noWrap w:val="0"/>
            <w:vAlign w:val="center"/>
          </w:tcPr>
          <w:p>
            <w:pPr>
              <w:autoSpaceDE w:val="0"/>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增加3.6</w:t>
            </w:r>
          </w:p>
        </w:tc>
        <w:tc>
          <w:tcPr>
            <w:tcW w:w="8961" w:type="dxa"/>
            <w:gridSpan w:val="3"/>
            <w:tcBorders>
              <w:top w:val="single" w:color="000000" w:sz="4" w:space="0"/>
              <w:left w:val="single" w:color="000000" w:sz="4" w:space="0"/>
              <w:bottom w:val="single" w:color="auto" w:sz="4" w:space="0"/>
              <w:right w:val="single" w:color="000000" w:sz="4" w:space="0"/>
            </w:tcBorders>
            <w:noWrap w:val="0"/>
            <w:vAlign w:val="center"/>
          </w:tcPr>
          <w:p>
            <w:pPr>
              <w:snapToGrid w:val="0"/>
              <w:spacing w:line="320" w:lineRule="exact"/>
              <w:ind w:firstLine="420" w:firstLineChars="200"/>
              <w:rPr>
                <w:rFonts w:hint="eastAsia" w:ascii="宋体" w:hAnsi="宋体" w:cs="宋体"/>
                <w:color w:val="auto"/>
                <w:szCs w:val="21"/>
                <w:highlight w:val="none"/>
              </w:rPr>
            </w:pPr>
            <w:r>
              <w:rPr>
                <w:rFonts w:hint="eastAsia" w:ascii="宋体" w:hAnsi="宋体" w:cs="宋体"/>
                <w:color w:val="auto"/>
                <w:sz w:val="21"/>
                <w:szCs w:val="21"/>
                <w:highlight w:val="none"/>
              </w:rPr>
              <w:t>通过第一信封评审的投标人少于3个的，评标委员会可以否决全部投标；未否决全部投标的，评标委员会应当在评标报告中阐明理由；通过第二信封评审的投标人少于3个的，评标委员会可以否决全部投标；未否决全部投标的，评标委员会应当在评标报告中阐明理由并推荐中标候选人。</w:t>
            </w:r>
          </w:p>
        </w:tc>
      </w:tr>
    </w:tbl>
    <w:p>
      <w:pPr>
        <w:widowControl w:val="0"/>
        <w:ind w:firstLine="420"/>
        <w:contextualSpacing/>
        <w:rPr>
          <w:rFonts w:ascii="Times New Roman" w:hAnsi="Times New Roman" w:eastAsia="宋体" w:cs="Arial"/>
          <w:color w:val="auto"/>
          <w:highlight w:val="none"/>
        </w:rPr>
      </w:pPr>
    </w:p>
    <w:p>
      <w:pPr>
        <w:rPr>
          <w:color w:val="auto"/>
          <w:highlight w:val="none"/>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030032C"/>
    <w:rsid w:val="01E943A0"/>
    <w:rsid w:val="031D6EFB"/>
    <w:rsid w:val="04E7212B"/>
    <w:rsid w:val="0B112BB9"/>
    <w:rsid w:val="0F64775C"/>
    <w:rsid w:val="134E49AB"/>
    <w:rsid w:val="152A0AFF"/>
    <w:rsid w:val="171750B3"/>
    <w:rsid w:val="1BDD4BE4"/>
    <w:rsid w:val="1F9E45C4"/>
    <w:rsid w:val="232746B5"/>
    <w:rsid w:val="26BC17D3"/>
    <w:rsid w:val="28013942"/>
    <w:rsid w:val="288D1E95"/>
    <w:rsid w:val="304E49F0"/>
    <w:rsid w:val="39C3314D"/>
    <w:rsid w:val="3A377697"/>
    <w:rsid w:val="3E6B790F"/>
    <w:rsid w:val="3F890995"/>
    <w:rsid w:val="45A1630C"/>
    <w:rsid w:val="48805E95"/>
    <w:rsid w:val="495913D8"/>
    <w:rsid w:val="498965EF"/>
    <w:rsid w:val="53FA7313"/>
    <w:rsid w:val="550D16DC"/>
    <w:rsid w:val="56AF0889"/>
    <w:rsid w:val="5BB809D2"/>
    <w:rsid w:val="5D9A56C3"/>
    <w:rsid w:val="64381AB2"/>
    <w:rsid w:val="645B2050"/>
    <w:rsid w:val="65F91B21"/>
    <w:rsid w:val="696F5C56"/>
    <w:rsid w:val="6F0A01DD"/>
    <w:rsid w:val="77F57C6E"/>
    <w:rsid w:val="79024F87"/>
    <w:rsid w:val="7C5168AE"/>
    <w:rsid w:val="7D6C09D3"/>
    <w:rsid w:val="7D80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kern w:val="0"/>
      <w:sz w:val="28"/>
      <w:szCs w:val="24"/>
    </w:rPr>
  </w:style>
  <w:style w:type="paragraph" w:styleId="3">
    <w:name w:val="Body Text 2"/>
    <w:basedOn w:val="1"/>
    <w:unhideWhenUsed/>
    <w:qFormat/>
    <w:uiPriority w:val="99"/>
    <w:pPr>
      <w:spacing w:after="120" w:line="480" w:lineRule="auto"/>
    </w:pPr>
  </w:style>
  <w:style w:type="character" w:customStyle="1" w:styleId="6">
    <w:name w:val="NormalCharacter"/>
    <w:qFormat/>
    <w:uiPriority w:val="0"/>
    <w:rPr>
      <w:rFonts w:ascii="Times New Roman" w:hAnsi="Times New Roman" w:eastAsia="宋体" w:cs="Times New Roman"/>
    </w:rPr>
  </w:style>
  <w:style w:type="paragraph" w:styleId="7">
    <w:name w:val="List Paragraph"/>
    <w:basedOn w:val="1"/>
    <w:qFormat/>
    <w:uiPriority w:val="34"/>
    <w:pPr>
      <w:ind w:firstLine="420" w:firstLineChars="200"/>
    </w:pPr>
  </w:style>
  <w:style w:type="character" w:customStyle="1" w:styleId="8">
    <w:name w:val="目录4 Char"/>
    <w:qFormat/>
    <w:uiPriority w:val="0"/>
    <w:rPr>
      <w:rFonts w:ascii="黑体" w:eastAsia="黑体"/>
      <w:kern w:val="2"/>
      <w:sz w:val="24"/>
      <w:szCs w:val="24"/>
      <w:lang w:val="en-US" w:eastAsia="zh-CN" w:bidi="ar-SA"/>
    </w:rPr>
  </w:style>
  <w:style w:type="character" w:customStyle="1" w:styleId="9">
    <w:name w:val="目录4 Char Char"/>
    <w:qFormat/>
    <w:uiPriority w:val="0"/>
    <w:rPr>
      <w:rFonts w:ascii="黑体" w:eastAsia="黑体"/>
      <w:kern w:val="2"/>
      <w:sz w:val="24"/>
      <w:szCs w:val="24"/>
      <w:lang w:val="en-US" w:eastAsia="zh-CN" w:bidi="ar-SA"/>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2551</Words>
  <Characters>2646</Characters>
  <Lines>0</Lines>
  <Paragraphs>0</Paragraphs>
  <TotalTime>0</TotalTime>
  <ScaleCrop>false</ScaleCrop>
  <LinksUpToDate>false</LinksUpToDate>
  <CharactersWithSpaces>2679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2023-01-05T02:35:00Z</dcterms:created>
  <dc:creator>Administrator</dc:creator>
  <cp:lastModifiedBy>丁燕</cp:lastModifiedBy>
  <dcterms:modified xsi:type="dcterms:W3CDTF">2023-01-12T02:37:26Z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EC54A61E7D4D4D59BADD5E95E94504E4</vt:lpwstr>
  </property>
</Properties>
</file>