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b w:val="0"/>
          <w:bCs w:val="0"/>
          <w:sz w:val="28"/>
          <w:szCs w:val="28"/>
        </w:rPr>
      </w:pPr>
      <w:bookmarkStart w:id="4" w:name="_GoBack"/>
      <w:bookmarkEnd w:id="4"/>
      <w:bookmarkStart w:id="0" w:name="_Toc61535746"/>
      <w:bookmarkStart w:id="1" w:name="_Toc91850688"/>
      <w:r>
        <w:rPr>
          <w:rFonts w:asciiTheme="minorEastAsia" w:hAnsiTheme="minorEastAsia" w:eastAsiaTheme="minorEastAsia"/>
          <w:b w:val="0"/>
          <w:bCs w:val="0"/>
          <w:sz w:val="28"/>
          <w:szCs w:val="28"/>
        </w:rPr>
        <w:t>附件1  资格</w:t>
      </w:r>
      <w:r>
        <w:rPr>
          <w:rFonts w:hint="eastAsia" w:asciiTheme="minorEastAsia" w:hAnsiTheme="minorEastAsia" w:eastAsiaTheme="minorEastAsia"/>
          <w:b w:val="0"/>
          <w:bCs w:val="0"/>
          <w:sz w:val="28"/>
          <w:szCs w:val="28"/>
        </w:rPr>
        <w:t>审查条件</w:t>
      </w:r>
      <w:bookmarkEnd w:id="0"/>
      <w:bookmarkEnd w:id="1"/>
    </w:p>
    <w:p>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附录</w:t>
      </w:r>
      <w:r>
        <w:rPr>
          <w:rFonts w:asciiTheme="minorEastAsia" w:hAnsiTheme="minorEastAsia" w:eastAsiaTheme="minorEastAsia"/>
          <w:b/>
          <w:bCs/>
          <w:szCs w:val="21"/>
        </w:rPr>
        <w:t>1 资格审查条件（资质最低要求）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vAlign w:val="center"/>
          </w:tcPr>
          <w:p>
            <w:pPr>
              <w:adjustRightInd w:val="0"/>
              <w:snapToGrid w:val="0"/>
              <w:spacing w:line="360" w:lineRule="exact"/>
              <w:jc w:val="center"/>
              <w:rPr>
                <w:rFonts w:asciiTheme="minorEastAsia" w:hAnsiTheme="minorEastAsia" w:eastAsiaTheme="minorEastAsia"/>
                <w:b/>
                <w:szCs w:val="21"/>
              </w:rPr>
            </w:pPr>
            <w:r>
              <w:rPr>
                <w:rFonts w:asciiTheme="minorEastAsia" w:hAnsiTheme="minorEastAsia" w:eastAsiaTheme="minorEastAsia"/>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本次招标要求投标人具有有效的营业执照，具有中国保险监督管理委员会颁发的《经营保险业务许可证》、保险机构省级及以上公司出具允许其分支机构参与此次招标活动的授权书（分支机构参与投标时提供）。</w:t>
            </w:r>
          </w:p>
          <w:p>
            <w:pPr>
              <w:spacing w:line="360" w:lineRule="exact"/>
              <w:ind w:firstLine="420" w:firstLineChars="200"/>
              <w:rPr>
                <w:rFonts w:asciiTheme="minorEastAsia" w:hAnsiTheme="minorEastAsia" w:eastAsiaTheme="minorEastAsia"/>
                <w:snapToGrid w:val="0"/>
                <w:kern w:val="0"/>
                <w:szCs w:val="21"/>
              </w:rPr>
            </w:pPr>
            <w:r>
              <w:rPr>
                <w:rFonts w:hint="eastAsia" w:cs="宋体" w:asciiTheme="minorEastAsia" w:hAnsiTheme="minorEastAsia" w:eastAsiaTheme="minorEastAsia"/>
                <w:szCs w:val="21"/>
              </w:rPr>
              <w:t>同一保险公司的省级及以上公司只能授权一家分支机构参与投标，且省级及以上公司不能和其授权的分支机构同时参与投标，否则相关投标均无效。</w:t>
            </w:r>
          </w:p>
        </w:tc>
      </w:tr>
    </w:tbl>
    <w:p>
      <w:pPr>
        <w:spacing w:line="360" w:lineRule="exact"/>
        <w:jc w:val="center"/>
        <w:rPr>
          <w:rFonts w:asciiTheme="minorEastAsia" w:hAnsiTheme="minorEastAsia" w:eastAsiaTheme="minorEastAsia"/>
          <w:b/>
          <w:bCs/>
          <w:szCs w:val="21"/>
        </w:rPr>
      </w:pPr>
    </w:p>
    <w:p>
      <w:pPr>
        <w:spacing w:line="360" w:lineRule="exact"/>
        <w:jc w:val="center"/>
        <w:rPr>
          <w:rFonts w:asciiTheme="minorEastAsia" w:hAnsiTheme="minorEastAsia" w:eastAsiaTheme="minorEastAsia"/>
          <w:b/>
          <w:bCs/>
          <w:szCs w:val="21"/>
        </w:rPr>
      </w:pPr>
      <w:bookmarkStart w:id="2" w:name="_Toc536788772"/>
      <w:r>
        <w:rPr>
          <w:rFonts w:hint="eastAsia" w:asciiTheme="minorEastAsia" w:hAnsiTheme="minorEastAsia" w:eastAsiaTheme="minorEastAsia"/>
          <w:b/>
          <w:bCs/>
          <w:szCs w:val="21"/>
        </w:rPr>
        <w:t xml:space="preserve">附录2  资质审查条件（业绩最低要求）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5000" w:type="pct"/>
            <w:vAlign w:val="center"/>
          </w:tcPr>
          <w:p>
            <w:pPr>
              <w:jc w:val="center"/>
              <w:rPr>
                <w:rFonts w:ascii="宋体"/>
                <w:szCs w:val="21"/>
              </w:rPr>
            </w:pPr>
            <w:r>
              <w:rPr>
                <w:rFonts w:hint="eastAsia" w:asci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000" w:type="pct"/>
            <w:vAlign w:val="center"/>
          </w:tcPr>
          <w:p>
            <w:pPr>
              <w:ind w:firstLine="420" w:firstLineChars="200"/>
              <w:jc w:val="left"/>
              <w:rPr>
                <w:rFonts w:ascii="宋体"/>
                <w:szCs w:val="21"/>
              </w:rPr>
            </w:pPr>
            <w:r>
              <w:rPr>
                <w:rFonts w:hint="eastAsia" w:ascii="宋体"/>
                <w:szCs w:val="21"/>
              </w:rPr>
              <w:t>近3年内(2019年11月1日至今，</w:t>
            </w:r>
            <w:r>
              <w:rPr>
                <w:rFonts w:hint="eastAsia" w:asciiTheme="minorEastAsia" w:hAnsiTheme="minorEastAsia" w:eastAsiaTheme="minorEastAsia"/>
                <w:kern w:val="0"/>
                <w:szCs w:val="21"/>
              </w:rPr>
              <w:t>以保险协议或保单合同签署日期为准</w:t>
            </w:r>
            <w:r>
              <w:rPr>
                <w:rFonts w:hint="eastAsia" w:ascii="宋体"/>
                <w:szCs w:val="21"/>
              </w:rPr>
              <w:t>）至少具有1项不少于100人的意外伤害保险业绩。</w:t>
            </w:r>
          </w:p>
        </w:tc>
      </w:tr>
      <w:bookmarkEnd w:id="2"/>
    </w:tbl>
    <w:p>
      <w:pPr>
        <w:spacing w:line="360" w:lineRule="exact"/>
        <w:jc w:val="center"/>
        <w:rPr>
          <w:rFonts w:asciiTheme="minorEastAsia" w:hAnsiTheme="minorEastAsia" w:eastAsiaTheme="minorEastAsia"/>
          <w:b/>
          <w:bCs/>
          <w:szCs w:val="21"/>
        </w:rPr>
      </w:pPr>
    </w:p>
    <w:p>
      <w:pPr>
        <w:spacing w:line="360" w:lineRule="exact"/>
        <w:jc w:val="center"/>
        <w:rPr>
          <w:rFonts w:asciiTheme="minorEastAsia" w:hAnsiTheme="minorEastAsia" w:eastAsiaTheme="minorEastAsia"/>
          <w:b/>
          <w:bCs/>
          <w:szCs w:val="21"/>
        </w:rPr>
      </w:pPr>
    </w:p>
    <w:p>
      <w:pPr>
        <w:spacing w:line="360" w:lineRule="exact"/>
        <w:jc w:val="center"/>
        <w:rPr>
          <w:rFonts w:asciiTheme="minorEastAsia" w:hAnsiTheme="minorEastAsia" w:eastAsiaTheme="minorEastAsia"/>
          <w:b/>
          <w:bCs/>
          <w:szCs w:val="21"/>
        </w:rPr>
      </w:pPr>
      <w:r>
        <w:rPr>
          <w:rFonts w:asciiTheme="minorEastAsia" w:hAnsiTheme="minorEastAsia" w:eastAsiaTheme="minorEastAsia"/>
          <w:b/>
          <w:bCs/>
          <w:szCs w:val="21"/>
        </w:rPr>
        <w:t>附录</w:t>
      </w:r>
      <w:r>
        <w:rPr>
          <w:rFonts w:hint="eastAsia" w:asciiTheme="minorEastAsia" w:hAnsiTheme="minorEastAsia" w:eastAsiaTheme="minorEastAsia"/>
          <w:b/>
          <w:bCs/>
          <w:szCs w:val="21"/>
        </w:rPr>
        <w:t>3</w:t>
      </w:r>
      <w:r>
        <w:rPr>
          <w:rFonts w:asciiTheme="minorEastAsia" w:hAnsiTheme="minorEastAsia" w:eastAsiaTheme="minorEastAsia"/>
          <w:b/>
          <w:bCs/>
          <w:szCs w:val="21"/>
        </w:rPr>
        <w:t>资格审查条件（</w:t>
      </w:r>
      <w:r>
        <w:rPr>
          <w:rFonts w:hint="eastAsia" w:asciiTheme="minorEastAsia" w:hAnsiTheme="minorEastAsia" w:eastAsiaTheme="minorEastAsia"/>
          <w:b/>
          <w:bCs/>
          <w:szCs w:val="21"/>
        </w:rPr>
        <w:t>信誉</w:t>
      </w:r>
      <w:r>
        <w:rPr>
          <w:rFonts w:asciiTheme="minorEastAsia" w:hAnsiTheme="minorEastAsia" w:eastAsiaTheme="minorEastAsia"/>
          <w:b/>
          <w:bCs/>
          <w:szCs w:val="21"/>
        </w:rPr>
        <w:t>最低要求）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3" w:hRule="atLeast"/>
          <w:jc w:val="center"/>
        </w:trPr>
        <w:tc>
          <w:tcPr>
            <w:tcW w:w="5000" w:type="pct"/>
            <w:vAlign w:val="center"/>
          </w:tcPr>
          <w:p>
            <w:pPr>
              <w:spacing w:line="360" w:lineRule="exact"/>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rPr>
              <w:t>投标人在近1年内(20</w:t>
            </w:r>
            <w:r>
              <w:rPr>
                <w:rFonts w:asciiTheme="minorEastAsia" w:hAnsiTheme="minorEastAsia" w:eastAsiaTheme="minorEastAsia"/>
              </w:rPr>
              <w:t>2</w:t>
            </w:r>
            <w:r>
              <w:rPr>
                <w:rFonts w:hint="eastAsia" w:asciiTheme="minorEastAsia" w:hAnsiTheme="minorEastAsia" w:eastAsiaTheme="minorEastAsia"/>
              </w:rPr>
              <w:t>1年</w:t>
            </w:r>
            <w:r>
              <w:rPr>
                <w:rFonts w:asciiTheme="minorEastAsia" w:hAnsiTheme="minorEastAsia" w:eastAsiaTheme="minorEastAsia"/>
              </w:rPr>
              <w:t>11</w:t>
            </w:r>
            <w:r>
              <w:rPr>
                <w:rFonts w:hint="eastAsia" w:asciiTheme="minorEastAsia" w:hAnsiTheme="minorEastAsia" w:eastAsiaTheme="minorEastAsia"/>
              </w:rPr>
              <w:t>月1日至今)不曾在合同执行中违约而被驱逐或因投标人自身的原因而使合同被解除。</w:t>
            </w:r>
          </w:p>
        </w:tc>
      </w:tr>
    </w:tbl>
    <w:p>
      <w:pPr>
        <w:adjustRightInd w:val="0"/>
        <w:snapToGrid w:val="0"/>
        <w:spacing w:line="360" w:lineRule="exact"/>
        <w:ind w:firstLine="420" w:firstLineChars="200"/>
        <w:rPr>
          <w:rFonts w:asciiTheme="minorEastAsia" w:hAnsiTheme="minorEastAsia" w:eastAsiaTheme="minorEastAsia"/>
          <w:szCs w:val="21"/>
        </w:rPr>
      </w:pPr>
    </w:p>
    <w:p>
      <w:pPr>
        <w:widowControl/>
        <w:jc w:val="left"/>
        <w:rPr>
          <w:rFonts w:asciiTheme="minorEastAsia" w:hAnsiTheme="minorEastAsia" w:eastAsiaTheme="minorEastAsia"/>
          <w:i/>
          <w:iCs/>
          <w:szCs w:val="21"/>
        </w:rPr>
      </w:pPr>
      <w:r>
        <w:rPr>
          <w:rFonts w:asciiTheme="minorEastAsia" w:hAnsiTheme="minorEastAsia" w:eastAsiaTheme="minorEastAsia"/>
          <w:b/>
          <w:i/>
          <w:iCs/>
          <w:szCs w:val="21"/>
        </w:rPr>
        <w:br w:type="page"/>
      </w:r>
    </w:p>
    <w:p>
      <w:pPr>
        <w:pStyle w:val="3"/>
        <w:rPr>
          <w:rFonts w:asciiTheme="minorEastAsia" w:hAnsiTheme="minorEastAsia" w:eastAsiaTheme="minorEastAsia"/>
          <w:b w:val="0"/>
          <w:bCs w:val="0"/>
          <w:sz w:val="28"/>
          <w:szCs w:val="28"/>
        </w:rPr>
      </w:pPr>
      <w:bookmarkStart w:id="3" w:name="_Toc91850689"/>
      <w:r>
        <w:rPr>
          <w:rFonts w:asciiTheme="minorEastAsia" w:hAnsiTheme="minorEastAsia" w:eastAsiaTheme="minorEastAsia"/>
          <w:b w:val="0"/>
          <w:bCs w:val="0"/>
          <w:sz w:val="28"/>
          <w:szCs w:val="28"/>
        </w:rPr>
        <w:t>附件</w:t>
      </w:r>
      <w:r>
        <w:rPr>
          <w:rFonts w:hint="eastAsia" w:asciiTheme="minorEastAsia" w:hAnsiTheme="minorEastAsia" w:eastAsiaTheme="minorEastAsia"/>
          <w:b w:val="0"/>
          <w:bCs w:val="0"/>
          <w:sz w:val="28"/>
          <w:szCs w:val="28"/>
        </w:rPr>
        <w:t>2：评标办法</w:t>
      </w:r>
      <w:bookmarkEnd w:id="3"/>
    </w:p>
    <w:p>
      <w:pPr>
        <w:pStyle w:val="2"/>
        <w:snapToGrid w:val="0"/>
        <w:spacing w:before="0" w:after="0" w:line="360" w:lineRule="auto"/>
        <w:rPr>
          <w:rFonts w:ascii="宋体" w:hAnsi="宋体" w:eastAsia="宋体"/>
          <w:kern w:val="0"/>
          <w:sz w:val="24"/>
          <w:szCs w:val="24"/>
        </w:rPr>
      </w:pPr>
      <w:r>
        <w:rPr>
          <w:rFonts w:hint="eastAsia" w:ascii="宋体" w:hAnsi="宋体" w:eastAsia="宋体"/>
          <w:spacing w:val="2"/>
          <w:kern w:val="0"/>
          <w:sz w:val="24"/>
          <w:szCs w:val="24"/>
        </w:rPr>
        <w:t>评标</w:t>
      </w:r>
      <w:r>
        <w:rPr>
          <w:rFonts w:hint="eastAsia" w:ascii="宋体" w:hAnsi="宋体" w:eastAsia="宋体"/>
          <w:kern w:val="0"/>
          <w:sz w:val="24"/>
          <w:szCs w:val="24"/>
        </w:rPr>
        <w:t>办法前附表</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72" w:type="dxa"/>
            <w:vAlign w:val="center"/>
          </w:tcPr>
          <w:p>
            <w:pPr>
              <w:jc w:val="center"/>
              <w:rPr>
                <w:rFonts w:ascii="宋体" w:hAnsi="宋体" w:cs="宋体"/>
                <w:szCs w:val="21"/>
              </w:rPr>
            </w:pPr>
            <w:r>
              <w:rPr>
                <w:rFonts w:hint="eastAsia" w:ascii="宋体" w:hAnsi="宋体" w:cs="宋体"/>
                <w:szCs w:val="21"/>
              </w:rPr>
              <w:t>条款号</w:t>
            </w:r>
          </w:p>
        </w:tc>
        <w:tc>
          <w:tcPr>
            <w:tcW w:w="1275" w:type="dxa"/>
            <w:vAlign w:val="center"/>
          </w:tcPr>
          <w:p>
            <w:pPr>
              <w:jc w:val="center"/>
              <w:rPr>
                <w:rFonts w:ascii="宋体" w:hAnsi="宋体" w:cs="宋体"/>
                <w:szCs w:val="21"/>
              </w:rPr>
            </w:pPr>
            <w:r>
              <w:rPr>
                <w:rFonts w:hint="eastAsia" w:ascii="宋体" w:hAnsi="宋体" w:cs="宋体"/>
                <w:szCs w:val="21"/>
              </w:rPr>
              <w:t>条款名称</w:t>
            </w:r>
          </w:p>
        </w:tc>
        <w:tc>
          <w:tcPr>
            <w:tcW w:w="7368" w:type="dxa"/>
            <w:vAlign w:val="center"/>
          </w:tcPr>
          <w:p>
            <w:pPr>
              <w:jc w:val="center"/>
              <w:rPr>
                <w:rFonts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1</w:t>
            </w:r>
          </w:p>
        </w:tc>
        <w:tc>
          <w:tcPr>
            <w:tcW w:w="1275" w:type="dxa"/>
            <w:vAlign w:val="center"/>
          </w:tcPr>
          <w:p>
            <w:pPr>
              <w:jc w:val="center"/>
              <w:rPr>
                <w:rFonts w:ascii="宋体" w:hAnsi="宋体" w:cs="宋体"/>
                <w:szCs w:val="21"/>
              </w:rPr>
            </w:pPr>
            <w:r>
              <w:rPr>
                <w:rFonts w:hint="eastAsia" w:ascii="宋体" w:hAnsi="宋体" w:cs="宋体"/>
                <w:szCs w:val="21"/>
              </w:rPr>
              <w:t>评标办法</w:t>
            </w:r>
          </w:p>
        </w:tc>
        <w:tc>
          <w:tcPr>
            <w:tcW w:w="7368" w:type="dxa"/>
            <w:vAlign w:val="center"/>
          </w:tcPr>
          <w:p>
            <w:pPr>
              <w:rPr>
                <w:rFonts w:ascii="宋体" w:hAnsi="宋体"/>
                <w:szCs w:val="21"/>
              </w:rPr>
            </w:pPr>
            <w:r>
              <w:rPr>
                <w:szCs w:val="21"/>
              </w:rPr>
              <w:t>本次评标采用综合评估法。评标委员会对满足招标文件实质性要求的投标文件，按照本章第</w:t>
            </w:r>
            <w:r>
              <w:rPr>
                <w:szCs w:val="21"/>
                <w:lang w:bidi="en-US"/>
              </w:rPr>
              <w:t>2.2</w:t>
            </w:r>
            <w:r>
              <w:rPr>
                <w:szCs w:val="21"/>
              </w:rPr>
              <w:t>款规定的评分标准进行打分，并按得分由高到低顺序推荐</w:t>
            </w:r>
            <w:r>
              <w:rPr>
                <w:rFonts w:hint="eastAsia"/>
                <w:szCs w:val="21"/>
              </w:rPr>
              <w:t>1</w:t>
            </w:r>
            <w:r>
              <w:rPr>
                <w:szCs w:val="21"/>
              </w:rPr>
              <w:t>-3</w:t>
            </w:r>
            <w:r>
              <w:rPr>
                <w:rFonts w:hint="eastAsia"/>
                <w:szCs w:val="21"/>
              </w:rPr>
              <w:t>名</w:t>
            </w:r>
            <w:r>
              <w:rPr>
                <w:szCs w:val="21"/>
              </w:rPr>
              <w:t>中标候选人。</w:t>
            </w:r>
            <w:r>
              <w:rPr>
                <w:rFonts w:hint="eastAsia" w:ascii="宋体" w:hAnsi="宋体"/>
                <w:szCs w:val="21"/>
              </w:rPr>
              <w:t>综合评分相等时，评标委员会依次按照以下优先顺序推荐中标候选人：</w:t>
            </w:r>
          </w:p>
          <w:p>
            <w:pPr>
              <w:rPr>
                <w:rFonts w:ascii="宋体" w:hAnsi="宋体"/>
                <w:szCs w:val="21"/>
              </w:rPr>
            </w:pPr>
            <w:r>
              <w:rPr>
                <w:rFonts w:hint="eastAsia" w:ascii="宋体" w:hAnsi="宋体"/>
                <w:szCs w:val="21"/>
              </w:rPr>
              <w:t>（1）评标价低的投标人优先；</w:t>
            </w:r>
          </w:p>
          <w:p>
            <w:pPr>
              <w:rPr>
                <w:rFonts w:ascii="宋体" w:hAnsi="宋体"/>
                <w:szCs w:val="21"/>
              </w:rPr>
            </w:pPr>
            <w:r>
              <w:rPr>
                <w:rFonts w:hint="eastAsia" w:ascii="宋体" w:hAnsi="宋体"/>
                <w:szCs w:val="21"/>
              </w:rPr>
              <w:t>（2）</w:t>
            </w:r>
            <w:r>
              <w:rPr>
                <w:rFonts w:ascii="宋体" w:hAnsi="宋体"/>
                <w:szCs w:val="21"/>
              </w:rPr>
              <w:t>技术</w:t>
            </w:r>
            <w:r>
              <w:rPr>
                <w:rFonts w:hint="eastAsia" w:ascii="宋体" w:hAnsi="宋体"/>
                <w:szCs w:val="21"/>
              </w:rPr>
              <w:t>部分</w:t>
            </w:r>
            <w:r>
              <w:rPr>
                <w:rFonts w:ascii="宋体" w:hAnsi="宋体"/>
                <w:szCs w:val="21"/>
              </w:rPr>
              <w:t>得分较高的投标人优先</w:t>
            </w:r>
            <w:r>
              <w:rPr>
                <w:rFonts w:hint="eastAsia" w:ascii="宋体" w:hAnsi="宋体"/>
                <w:szCs w:val="21"/>
              </w:rPr>
              <w:t>；</w:t>
            </w:r>
          </w:p>
          <w:p>
            <w:pPr>
              <w:rPr>
                <w:rFonts w:ascii="宋体" w:hAnsi="宋体"/>
                <w:szCs w:val="21"/>
              </w:rPr>
            </w:pPr>
            <w:r>
              <w:rPr>
                <w:rFonts w:hint="eastAsia" w:ascii="宋体" w:hAnsi="宋体"/>
                <w:szCs w:val="21"/>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ascii="宋体" w:hAnsi="宋体" w:cs="宋体"/>
                <w:szCs w:val="21"/>
              </w:rPr>
              <w:t>2.1.1</w:t>
            </w:r>
          </w:p>
          <w:p>
            <w:pPr>
              <w:jc w:val="center"/>
              <w:rPr>
                <w:rFonts w:ascii="宋体" w:hAnsi="宋体" w:cs="宋体"/>
                <w:szCs w:val="21"/>
              </w:rPr>
            </w:pPr>
            <w:r>
              <w:rPr>
                <w:rFonts w:ascii="宋体" w:hAnsi="宋体" w:cs="宋体"/>
                <w:szCs w:val="21"/>
              </w:rPr>
              <w:t>2.1.3</w:t>
            </w:r>
          </w:p>
        </w:tc>
        <w:tc>
          <w:tcPr>
            <w:tcW w:w="1275" w:type="dxa"/>
            <w:vAlign w:val="center"/>
          </w:tcPr>
          <w:p>
            <w:pPr>
              <w:jc w:val="center"/>
              <w:rPr>
                <w:rFonts w:ascii="宋体" w:hAnsi="宋体" w:cs="宋体"/>
                <w:szCs w:val="21"/>
              </w:rPr>
            </w:pPr>
            <w:r>
              <w:rPr>
                <w:rFonts w:hint="eastAsia" w:ascii="宋体" w:hAnsi="宋体" w:cs="宋体"/>
                <w:szCs w:val="21"/>
              </w:rPr>
              <w:t>形式评审与响应性评审标准</w:t>
            </w:r>
          </w:p>
        </w:tc>
        <w:tc>
          <w:tcPr>
            <w:tcW w:w="7368" w:type="dxa"/>
            <w:vAlign w:val="center"/>
          </w:tcPr>
          <w:p>
            <w:pPr>
              <w:tabs>
                <w:tab w:val="left" w:pos="3060"/>
              </w:tabs>
              <w:spacing w:line="360" w:lineRule="exact"/>
              <w:ind w:firstLine="211" w:firstLineChars="100"/>
              <w:rPr>
                <w:rFonts w:ascii="宋体" w:hAnsi="宋体"/>
                <w:b/>
                <w:bCs/>
                <w:szCs w:val="21"/>
              </w:rPr>
            </w:pPr>
            <w:r>
              <w:rPr>
                <w:rFonts w:hint="eastAsia" w:ascii="宋体" w:hAnsi="宋体"/>
                <w:b/>
                <w:bCs/>
                <w:szCs w:val="21"/>
              </w:rPr>
              <w:t>第一个信封评审标准：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a．投标函按招标文件规定填报了项目名称、补遗书编号（如有）、保险期限；</w:t>
            </w:r>
          </w:p>
          <w:p>
            <w:pPr>
              <w:tabs>
                <w:tab w:val="left" w:pos="3060"/>
              </w:tabs>
              <w:spacing w:line="360" w:lineRule="exact"/>
              <w:ind w:firstLine="210" w:firstLineChars="100"/>
              <w:rPr>
                <w:rFonts w:ascii="宋体" w:hAnsi="宋体"/>
                <w:szCs w:val="21"/>
              </w:rPr>
            </w:pPr>
            <w:r>
              <w:rPr>
                <w:rFonts w:hint="eastAsia" w:ascii="宋体" w:hAnsi="宋体"/>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60" w:lineRule="exact"/>
              <w:ind w:firstLine="210" w:firstLineChars="100"/>
              <w:rPr>
                <w:rFonts w:ascii="宋体" w:hAnsi="宋体"/>
                <w:bCs/>
                <w:szCs w:val="21"/>
              </w:rPr>
            </w:pPr>
            <w:r>
              <w:rPr>
                <w:rFonts w:hint="eastAsia" w:ascii="宋体" w:hAnsi="宋体"/>
                <w:bCs/>
                <w:szCs w:val="21"/>
              </w:rPr>
              <w:t>（3）投标人按照招标文件的规定提供了投标保证金：</w:t>
            </w:r>
          </w:p>
          <w:p>
            <w:pPr>
              <w:tabs>
                <w:tab w:val="left" w:pos="3060"/>
              </w:tabs>
              <w:spacing w:line="360" w:lineRule="exact"/>
              <w:ind w:firstLine="210" w:firstLineChars="100"/>
              <w:rPr>
                <w:rFonts w:ascii="宋体" w:hAnsi="宋体"/>
                <w:bCs/>
                <w:szCs w:val="21"/>
              </w:rPr>
            </w:pPr>
            <w:r>
              <w:rPr>
                <w:rFonts w:hint="eastAsia" w:ascii="宋体" w:hAnsi="宋体"/>
                <w:bCs/>
                <w:szCs w:val="21"/>
              </w:rPr>
              <w:t>a.投标保证金金额符合招标文件规定的金额，且投标保证金有效期不少于投标有效期；</w:t>
            </w:r>
          </w:p>
          <w:p>
            <w:pPr>
              <w:tabs>
                <w:tab w:val="left" w:pos="3060"/>
              </w:tabs>
              <w:spacing w:line="360" w:lineRule="exact"/>
              <w:ind w:firstLine="210" w:firstLineChars="100"/>
              <w:rPr>
                <w:rFonts w:ascii="宋体" w:hAnsi="宋体"/>
                <w:bCs/>
                <w:szCs w:val="21"/>
              </w:rPr>
            </w:pPr>
            <w:r>
              <w:rPr>
                <w:rFonts w:hint="eastAsia" w:ascii="宋体" w:hAnsi="宋体"/>
                <w:bCs/>
                <w:szCs w:val="21"/>
              </w:rPr>
              <w:t>b.若投标保证金采用电汇或转账形式提交，投标人应在递交投标文件截止时间之前，将投标保证金由投标人的基本账户转入招标人指定账户；</w:t>
            </w:r>
          </w:p>
          <w:p>
            <w:pPr>
              <w:tabs>
                <w:tab w:val="left" w:pos="3060"/>
              </w:tabs>
              <w:spacing w:line="360" w:lineRule="exact"/>
              <w:ind w:firstLine="210" w:firstLineChars="100"/>
              <w:rPr>
                <w:rFonts w:ascii="宋体" w:hAnsi="宋体"/>
                <w:bCs/>
                <w:szCs w:val="21"/>
              </w:rPr>
            </w:pPr>
            <w:r>
              <w:rPr>
                <w:rFonts w:hint="eastAsia" w:ascii="宋体" w:hAnsi="宋体"/>
                <w:bCs/>
                <w:szCs w:val="21"/>
              </w:rPr>
              <w:t>c.若投标保证金采用银行保函形式提交，银行保函的格式、开具保函的银行均满足招标文件要求，且在递交投标文件截止时间之前向招标人提交了银行保函原件。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（4）投标人法定代表人授权委托代理人签署投标文件的，须提交授权委托书，授权委托书符合招标文件规定。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）投标人未以联合体形式投标。</w:t>
            </w:r>
          </w:p>
          <w:p>
            <w:pPr>
              <w:autoSpaceDE w:val="0"/>
              <w:autoSpaceDN w:val="0"/>
              <w:adjustRightInd w:val="0"/>
              <w:spacing w:line="360" w:lineRule="exact"/>
              <w:jc w:val="left"/>
              <w:rPr>
                <w:szCs w:val="21"/>
              </w:rPr>
            </w:pPr>
            <w:r>
              <w:rPr>
                <w:rFonts w:hint="eastAsia" w:ascii="宋体" w:hAnsi="宋体" w:cs="宋体"/>
                <w:kern w:val="0"/>
                <w:szCs w:val="21"/>
              </w:rPr>
              <w:t>（7）</w:t>
            </w:r>
            <w:r>
              <w:rPr>
                <w:rFonts w:hint="eastAsia"/>
                <w:szCs w:val="21"/>
              </w:rPr>
              <w:t>投标人未对本项目提出分包计划。</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（8）同一投标人未提交两个以上不同的投标文件。</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（9）投标文件中未出现有关投标报价的内容。</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（10）投标文件载明的招标项目完成期限符合招标文件规定。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1）投标文件对招标文件的实质性要求和条件作出响应。</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2）权利义务符合招标文件规定：</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投标人应接受招标文件规定的风险划分原则，未提出新的风险划分办法；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投标人未增加发包人的责任范围，或减少投标人义务；</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投标人未提出不同的支付办法；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投标人对合同纠纷、事故处理办法未提出异议；</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e.</w:t>
            </w:r>
            <w:r>
              <w:rPr>
                <w:rFonts w:hint="eastAsia" w:ascii="宋体" w:hAnsi="宋体" w:cs="宋体"/>
                <w:kern w:val="0"/>
                <w:szCs w:val="21"/>
              </w:rPr>
              <w:t>投标人在投标活动中无欺诈行为；</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f.</w:t>
            </w:r>
            <w:r>
              <w:rPr>
                <w:rFonts w:hint="eastAsia" w:ascii="宋体" w:hAnsi="宋体" w:cs="宋体"/>
                <w:kern w:val="0"/>
                <w:szCs w:val="21"/>
              </w:rPr>
              <w:t>投标人未对合同条款有重要保留。</w:t>
            </w:r>
          </w:p>
          <w:p>
            <w:pPr>
              <w:tabs>
                <w:tab w:val="left" w:pos="3060"/>
              </w:tabs>
              <w:spacing w:line="360" w:lineRule="exact"/>
              <w:ind w:firstLine="210" w:firstLineChars="100"/>
              <w:rPr>
                <w:rFonts w:ascii="宋体" w:hAnsi="宋体"/>
                <w:szCs w:val="21"/>
              </w:rPr>
            </w:pPr>
            <w:r>
              <w:rPr>
                <w:rFonts w:hint="eastAsia" w:ascii="宋体" w:hAnsi="宋体" w:cs="宋体"/>
                <w:kern w:val="0"/>
                <w:szCs w:val="21"/>
              </w:rPr>
              <w:t>（13）投标人名称与营业执照、许可证书</w:t>
            </w:r>
            <w:r>
              <w:rPr>
                <w:rFonts w:hint="eastAsia" w:ascii="宋体" w:hAnsi="宋体"/>
                <w:szCs w:val="21"/>
              </w:rPr>
              <w:t>、</w:t>
            </w:r>
            <w:r>
              <w:rPr>
                <w:rFonts w:hint="eastAsia" w:ascii="宋体" w:hAnsi="宋体" w:cs="宋体"/>
                <w:kern w:val="0"/>
                <w:szCs w:val="21"/>
              </w:rPr>
              <w:t>基本账户开户许可证（或基本存款账户信息）一致，如企业名称有变更的，应提供企业法人营业执照和资质证书的副本变更记录或相关部门的合法批件复印件。</w:t>
            </w: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a．投标函按招标文件规定填报了项目名称、补遗书编号（如有）、投标价（包括大写金额和小写金额）；</w:t>
            </w:r>
          </w:p>
          <w:p>
            <w:pPr>
              <w:tabs>
                <w:tab w:val="left" w:pos="3060"/>
              </w:tabs>
              <w:spacing w:line="360" w:lineRule="exact"/>
              <w:ind w:firstLine="210" w:firstLineChars="100"/>
              <w:rPr>
                <w:rFonts w:ascii="宋体" w:hAnsi="宋体"/>
                <w:szCs w:val="21"/>
              </w:rPr>
            </w:pPr>
            <w:r>
              <w:rPr>
                <w:rFonts w:hint="eastAsia" w:ascii="宋体" w:hAnsi="宋体"/>
                <w:szCs w:val="21"/>
              </w:rPr>
              <w:t>b．投标文件组成齐全完整，内容均按规定填写。</w:t>
            </w:r>
          </w:p>
          <w:p>
            <w:pPr>
              <w:tabs>
                <w:tab w:val="left" w:pos="3060"/>
              </w:tabs>
              <w:spacing w:line="360" w:lineRule="exact"/>
              <w:ind w:firstLine="205" w:firstLineChars="98"/>
              <w:rPr>
                <w:rFonts w:ascii="宋体" w:hAnsi="宋体"/>
                <w:bCs/>
                <w:szCs w:val="21"/>
              </w:rPr>
            </w:pPr>
            <w:r>
              <w:rPr>
                <w:rFonts w:hint="eastAsia" w:ascii="宋体" w:hAnsi="宋体"/>
                <w:bCs/>
                <w:szCs w:val="21"/>
              </w:rPr>
              <w:t>（2）</w:t>
            </w:r>
            <w:r>
              <w:rPr>
                <w:rFonts w:hint="eastAsia" w:ascii="宋体" w:hAnsi="宋体"/>
                <w:szCs w:val="21"/>
              </w:rPr>
              <w:t>投标文件上法定代表人或其授权代理人的签字、投标人的单位章盖章齐全，符合招标文件规定</w:t>
            </w:r>
            <w:r>
              <w:rPr>
                <w:rFonts w:hint="eastAsia" w:ascii="宋体" w:hAnsi="宋体"/>
                <w:bCs/>
                <w:szCs w:val="21"/>
              </w:rPr>
              <w:t>；</w:t>
            </w:r>
          </w:p>
          <w:p>
            <w:pPr>
              <w:tabs>
                <w:tab w:val="left" w:pos="3060"/>
              </w:tabs>
              <w:spacing w:line="360" w:lineRule="exact"/>
              <w:ind w:firstLine="210" w:firstLineChars="1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cs="宋体"/>
                <w:kern w:val="0"/>
                <w:szCs w:val="21"/>
              </w:rPr>
              <w:t>投标报价未超过招标文件设定的最高投标限价</w:t>
            </w:r>
            <w:r>
              <w:rPr>
                <w:rFonts w:hint="eastAsia" w:ascii="宋体" w:hAnsi="宋体"/>
                <w:bCs/>
                <w:szCs w:val="21"/>
              </w:rPr>
              <w:t>。</w:t>
            </w:r>
          </w:p>
          <w:p>
            <w:pPr>
              <w:autoSpaceDE w:val="0"/>
              <w:autoSpaceDN w:val="0"/>
              <w:adjustRightInd w:val="0"/>
              <w:spacing w:line="360" w:lineRule="exact"/>
              <w:ind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）投标报价的大写金额能够确定具体数值。</w:t>
            </w:r>
          </w:p>
          <w:p>
            <w:pPr>
              <w:autoSpaceDE w:val="0"/>
              <w:autoSpaceDN w:val="0"/>
              <w:adjustRightInd w:val="0"/>
              <w:spacing w:line="360" w:lineRule="exact"/>
              <w:ind w:firstLine="210" w:firstLineChars="100"/>
              <w:jc w:val="left"/>
              <w:rPr>
                <w:rFonts w:ascii="宋体" w:hAnsi="宋体" w:cs="宋体"/>
                <w:kern w:val="0"/>
                <w:szCs w:val="21"/>
              </w:rPr>
            </w:pPr>
            <w:r>
              <w:rPr>
                <w:rFonts w:hint="eastAsia" w:ascii="宋体" w:hAnsi="宋体" w:cs="宋体"/>
                <w:kern w:val="0"/>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2.1.2</w:t>
            </w:r>
          </w:p>
        </w:tc>
        <w:tc>
          <w:tcPr>
            <w:tcW w:w="1275" w:type="dxa"/>
            <w:vAlign w:val="center"/>
          </w:tcPr>
          <w:p>
            <w:pPr>
              <w:jc w:val="center"/>
              <w:rPr>
                <w:rFonts w:ascii="宋体" w:hAnsi="宋体" w:cs="宋体"/>
                <w:szCs w:val="21"/>
              </w:rPr>
            </w:pPr>
            <w:r>
              <w:rPr>
                <w:rFonts w:hint="eastAsia" w:ascii="宋体" w:hAnsi="宋体" w:cs="宋体"/>
                <w:szCs w:val="21"/>
              </w:rPr>
              <w:t>资格评审标准</w:t>
            </w:r>
          </w:p>
        </w:tc>
        <w:tc>
          <w:tcPr>
            <w:tcW w:w="7368" w:type="dxa"/>
            <w:vAlign w:val="center"/>
          </w:tcPr>
          <w:p>
            <w:pPr>
              <w:rPr>
                <w:rFonts w:ascii="宋体" w:hAnsi="宋体" w:cs="宋体"/>
                <w:szCs w:val="21"/>
              </w:rPr>
            </w:pPr>
            <w:r>
              <w:rPr>
                <w:rFonts w:hint="eastAsia" w:ascii="宋体" w:hAnsi="宋体" w:cs="宋体"/>
                <w:szCs w:val="21"/>
              </w:rPr>
              <w:t>（1）投标人具备有效的营业执照、</w:t>
            </w:r>
            <w:r>
              <w:rPr>
                <w:rFonts w:hint="eastAsia" w:ascii="宋体" w:hAnsi="宋体" w:cs="宋体"/>
                <w:kern w:val="0"/>
                <w:szCs w:val="21"/>
              </w:rPr>
              <w:t>许可证书、</w:t>
            </w:r>
            <w:r>
              <w:rPr>
                <w:rFonts w:hint="eastAsia" w:ascii="宋体" w:hAnsi="宋体" w:cs="宋体"/>
                <w:szCs w:val="21"/>
              </w:rPr>
              <w:t>基本账户开户许可证</w:t>
            </w:r>
            <w:r>
              <w:rPr>
                <w:rFonts w:hint="eastAsia" w:ascii="宋体" w:hAnsi="宋体"/>
                <w:szCs w:val="21"/>
              </w:rPr>
              <w:t>（或</w:t>
            </w:r>
            <w:r>
              <w:rPr>
                <w:rFonts w:hint="eastAsia" w:ascii="宋体" w:hAnsi="宋体"/>
              </w:rPr>
              <w:t>基本存款账户信息</w:t>
            </w:r>
            <w:r>
              <w:rPr>
                <w:rFonts w:hint="eastAsia" w:ascii="宋体" w:hAnsi="宋体"/>
                <w:szCs w:val="21"/>
              </w:rPr>
              <w:t>）</w:t>
            </w:r>
            <w:r>
              <w:rPr>
                <w:rFonts w:hint="eastAsia" w:ascii="宋体" w:hAnsi="宋体" w:cs="宋体"/>
                <w:szCs w:val="21"/>
              </w:rPr>
              <w:t>；</w:t>
            </w:r>
          </w:p>
          <w:p>
            <w:pPr>
              <w:rPr>
                <w:rFonts w:ascii="宋体" w:hAnsi="宋体" w:cs="宋体"/>
                <w:szCs w:val="21"/>
              </w:rPr>
            </w:pPr>
            <w:r>
              <w:rPr>
                <w:rFonts w:hint="eastAsia" w:ascii="宋体" w:hAnsi="宋体" w:cs="宋体"/>
                <w:szCs w:val="21"/>
              </w:rPr>
              <w:t>（2）投标人的资格符合招标文件规定</w:t>
            </w:r>
            <w:r>
              <w:rPr>
                <w:rFonts w:hint="eastAsia" w:ascii="宋体" w:hAnsi="宋体"/>
                <w:szCs w:val="21"/>
              </w:rPr>
              <w:t>。</w:t>
            </w:r>
          </w:p>
          <w:p>
            <w:pPr>
              <w:rPr>
                <w:rFonts w:ascii="宋体" w:hAnsi="宋体" w:cs="宋体"/>
                <w:szCs w:val="21"/>
              </w:rPr>
            </w:pPr>
            <w:r>
              <w:rPr>
                <w:rFonts w:hint="eastAsia" w:ascii="宋体" w:hAnsi="宋体" w:cs="宋体"/>
                <w:szCs w:val="21"/>
              </w:rPr>
              <w:t>（3）投标人的业绩符合招标文件的规定。</w:t>
            </w:r>
          </w:p>
          <w:p>
            <w:pPr>
              <w:rPr>
                <w:rFonts w:ascii="宋体" w:hAnsi="宋体" w:cs="宋体"/>
                <w:szCs w:val="21"/>
              </w:rPr>
            </w:pPr>
            <w:r>
              <w:rPr>
                <w:rFonts w:hint="eastAsia" w:ascii="宋体" w:hAnsi="宋体" w:cs="宋体"/>
                <w:szCs w:val="21"/>
              </w:rPr>
              <w:t>（4）投标人的信誉符合招标文件的规定。</w:t>
            </w:r>
          </w:p>
          <w:p>
            <w:pPr>
              <w:rPr>
                <w:rFonts w:ascii="宋体" w:hAnsi="宋体" w:cs="宋体"/>
                <w:szCs w:val="21"/>
              </w:rPr>
            </w:pPr>
            <w:r>
              <w:rPr>
                <w:rFonts w:hint="eastAsia" w:ascii="宋体" w:hAnsi="宋体" w:cs="宋体"/>
                <w:szCs w:val="21"/>
              </w:rPr>
              <w:t>（5）投标人不存在第二章“投标人须知”第1.4.3项或1.4.4项规定的任何一种情形。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2.2.1</w:t>
            </w:r>
          </w:p>
        </w:tc>
        <w:tc>
          <w:tcPr>
            <w:tcW w:w="1275" w:type="dxa"/>
            <w:vAlign w:val="center"/>
          </w:tcPr>
          <w:p>
            <w:pPr>
              <w:jc w:val="center"/>
              <w:rPr>
                <w:rFonts w:ascii="宋体" w:hAnsi="宋体" w:cs="宋体"/>
                <w:szCs w:val="21"/>
              </w:rPr>
            </w:pPr>
            <w:r>
              <w:rPr>
                <w:rFonts w:hint="eastAsia" w:ascii="宋体" w:hAnsi="宋体" w:cs="宋体"/>
                <w:szCs w:val="21"/>
              </w:rPr>
              <w:t>分值构成（总分100分）</w:t>
            </w:r>
          </w:p>
        </w:tc>
        <w:tc>
          <w:tcPr>
            <w:tcW w:w="7368" w:type="dxa"/>
            <w:vAlign w:val="center"/>
          </w:tcPr>
          <w:p>
            <w:pPr>
              <w:spacing w:line="360" w:lineRule="exact"/>
              <w:rPr>
                <w:rFonts w:ascii="宋体" w:hAnsi="宋体"/>
                <w:b/>
                <w:szCs w:val="21"/>
              </w:rPr>
            </w:pPr>
            <w:r>
              <w:rPr>
                <w:rFonts w:hint="eastAsia" w:ascii="宋体" w:hAnsi="宋体"/>
                <w:b/>
                <w:szCs w:val="21"/>
              </w:rPr>
              <w:t>第一个信封（商务及技术文件）评分分值构成：</w:t>
            </w:r>
          </w:p>
          <w:p>
            <w:pPr>
              <w:spacing w:line="360" w:lineRule="exact"/>
              <w:rPr>
                <w:rFonts w:ascii="宋体" w:hAnsi="宋体"/>
                <w:szCs w:val="21"/>
              </w:rPr>
            </w:pPr>
            <w:r>
              <w:rPr>
                <w:rFonts w:hint="eastAsia" w:ascii="宋体" w:hAnsi="宋体"/>
                <w:szCs w:val="21"/>
              </w:rPr>
              <w:t>技术部分：60分</w:t>
            </w:r>
          </w:p>
          <w:p>
            <w:pPr>
              <w:spacing w:line="360" w:lineRule="exact"/>
              <w:rPr>
                <w:rFonts w:ascii="宋体" w:hAnsi="宋体"/>
                <w:szCs w:val="21"/>
              </w:rPr>
            </w:pPr>
            <w:r>
              <w:rPr>
                <w:rFonts w:hint="eastAsia" w:ascii="宋体" w:hAnsi="宋体"/>
                <w:szCs w:val="21"/>
              </w:rPr>
              <w:t>商务部分：10分</w:t>
            </w:r>
          </w:p>
          <w:p>
            <w:pPr>
              <w:spacing w:line="360" w:lineRule="exact"/>
              <w:rPr>
                <w:rFonts w:ascii="宋体" w:hAnsi="宋体"/>
                <w:b/>
                <w:szCs w:val="21"/>
              </w:rPr>
            </w:pPr>
            <w:r>
              <w:rPr>
                <w:rFonts w:hint="eastAsia" w:ascii="宋体" w:hAnsi="宋体"/>
                <w:b/>
                <w:szCs w:val="21"/>
              </w:rPr>
              <w:t>第二个信封（报价文件）评分分值构成：</w:t>
            </w:r>
          </w:p>
          <w:p>
            <w:pPr>
              <w:rPr>
                <w:rFonts w:ascii="宋体" w:hAnsi="宋体" w:cs="宋体"/>
                <w:szCs w:val="21"/>
              </w:rPr>
            </w:pPr>
            <w:r>
              <w:rPr>
                <w:rFonts w:hint="eastAsia" w:ascii="宋体" w:hAnsi="宋体"/>
                <w:szCs w:val="21"/>
              </w:rPr>
              <w:t>评标价：30分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2.2.2</w:t>
            </w:r>
          </w:p>
        </w:tc>
        <w:tc>
          <w:tcPr>
            <w:tcW w:w="1275" w:type="dxa"/>
            <w:vAlign w:val="center"/>
          </w:tcPr>
          <w:p>
            <w:pPr>
              <w:jc w:val="center"/>
              <w:rPr>
                <w:rFonts w:ascii="宋体" w:hAnsi="宋体" w:cs="宋体"/>
                <w:szCs w:val="21"/>
              </w:rPr>
            </w:pPr>
            <w:r>
              <w:rPr>
                <w:rFonts w:hint="eastAsia" w:ascii="宋体" w:hAnsi="宋体" w:cs="宋体"/>
                <w:szCs w:val="21"/>
              </w:rPr>
              <w:t>评标基准价计算方法</w:t>
            </w:r>
          </w:p>
        </w:tc>
        <w:tc>
          <w:tcPr>
            <w:tcW w:w="7368" w:type="dxa"/>
            <w:vAlign w:val="center"/>
          </w:tcPr>
          <w:p>
            <w:pPr>
              <w:spacing w:line="360" w:lineRule="exact"/>
              <w:ind w:firstLine="420" w:firstLineChars="200"/>
              <w:rPr>
                <w:rFonts w:ascii="宋体" w:hAnsi="宋体"/>
                <w:szCs w:val="21"/>
              </w:rPr>
            </w:pPr>
            <w:r>
              <w:rPr>
                <w:rFonts w:hint="eastAsia" w:ascii="宋体" w:hAnsi="宋体"/>
                <w:szCs w:val="21"/>
              </w:rPr>
              <w:t>在第二个信封开标现场，招标人将计算并宣布评标基准价。</w:t>
            </w:r>
          </w:p>
          <w:p>
            <w:pPr>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 评标基准价的计算：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不再参加评标基准价计算的投标报价之外，所有投标人的评标价的算术平均值作为评标基准价（评标基准价保留小数点后两位，小数点后第三位四舍五入）。</w:t>
            </w:r>
          </w:p>
          <w:p>
            <w:pPr>
              <w:spacing w:line="360" w:lineRule="exact"/>
              <w:ind w:firstLine="420" w:firstLineChars="200"/>
              <w:rPr>
                <w:rFonts w:ascii="宋体" w:hAnsi="宋体" w:cs="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2.2.3</w:t>
            </w:r>
          </w:p>
        </w:tc>
        <w:tc>
          <w:tcPr>
            <w:tcW w:w="1275" w:type="dxa"/>
            <w:vAlign w:val="center"/>
          </w:tcPr>
          <w:p>
            <w:pPr>
              <w:rPr>
                <w:rFonts w:ascii="宋体" w:hAnsi="宋体"/>
                <w:szCs w:val="21"/>
              </w:rPr>
            </w:pPr>
            <w:r>
              <w:rPr>
                <w:rFonts w:hint="eastAsia" w:ascii="宋体" w:hAnsi="宋体"/>
                <w:szCs w:val="21"/>
              </w:rPr>
              <w:t>评标价的偏差率计算公式</w:t>
            </w:r>
          </w:p>
        </w:tc>
        <w:tc>
          <w:tcPr>
            <w:tcW w:w="7368" w:type="dxa"/>
            <w:vAlign w:val="center"/>
          </w:tcPr>
          <w:p>
            <w:pPr>
              <w:spacing w:line="360" w:lineRule="exact"/>
              <w:ind w:firstLine="420" w:firstLineChars="200"/>
              <w:jc w:val="left"/>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3.6.1</w:t>
            </w:r>
          </w:p>
        </w:tc>
        <w:tc>
          <w:tcPr>
            <w:tcW w:w="1275" w:type="dxa"/>
            <w:vAlign w:val="center"/>
          </w:tcPr>
          <w:p>
            <w:pPr>
              <w:rPr>
                <w:rFonts w:ascii="宋体" w:hAnsi="宋体"/>
                <w:szCs w:val="21"/>
              </w:rPr>
            </w:pPr>
            <w:r>
              <w:rPr>
                <w:rFonts w:hint="eastAsia" w:ascii="宋体" w:hAnsi="宋体" w:cs="宋体"/>
                <w:szCs w:val="21"/>
              </w:rPr>
              <w:t>投标文件相关信息核查</w:t>
            </w:r>
          </w:p>
        </w:tc>
        <w:tc>
          <w:tcPr>
            <w:tcW w:w="7368" w:type="dxa"/>
            <w:vAlign w:val="center"/>
          </w:tcPr>
          <w:p>
            <w:pPr>
              <w:adjustRightInd w:val="0"/>
              <w:snapToGrid w:val="0"/>
              <w:spacing w:line="320" w:lineRule="exact"/>
              <w:rPr>
                <w:rFonts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ascii="宋体" w:hAnsi="宋体" w:cs="宋体"/>
                <w:szCs w:val="21"/>
              </w:rPr>
            </w:pPr>
            <w:r>
              <w:rPr>
                <w:rFonts w:hint="eastAsia" w:ascii="宋体" w:hAnsi="宋体" w:cs="宋体"/>
                <w:szCs w:val="21"/>
              </w:rPr>
              <w:t>投标人的信用情况在“国家企业信用信息公示系统（http://www.gsxt.gov.cn/)”（事业单位不适用）和“信用中国网站（http://www.creditchina.gov.cn/)”进行查询，若投标人存在被列入“失信被执行人、异常经营名录、税收违法黑名单、政府采购严重违法失信行为记录名单”情形的，评标委员会应否决其投标。</w:t>
            </w:r>
          </w:p>
          <w:p>
            <w:pPr>
              <w:snapToGrid w:val="0"/>
              <w:spacing w:line="320" w:lineRule="exact"/>
              <w:ind w:firstLine="420" w:firstLineChars="200"/>
              <w:rPr>
                <w:rFonts w:ascii="宋体" w:hAnsi="宋体" w:cs="宋体"/>
                <w:szCs w:val="21"/>
              </w:rPr>
            </w:pPr>
            <w:r>
              <w:rPr>
                <w:rFonts w:hint="eastAsia" w:ascii="宋体" w:hAnsi="宋体" w:cs="宋体"/>
                <w:szCs w:val="21"/>
              </w:rPr>
              <w:t>如投标人未提供相关网页截图或所附截图内容与网站查询结果不一致，评标委员会应否决其投标。</w:t>
            </w:r>
          </w:p>
          <w:p>
            <w:pPr>
              <w:spacing w:line="360" w:lineRule="exact"/>
              <w:ind w:firstLine="420" w:firstLineChars="200"/>
              <w:jc w:val="left"/>
              <w:rPr>
                <w:rFonts w:ascii="宋体" w:hAnsi="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3"/>
            <w:vAlign w:val="center"/>
          </w:tcPr>
          <w:p>
            <w:pPr>
              <w:rPr>
                <w:rFonts w:ascii="宋体" w:hAnsi="宋体" w:cs="宋体"/>
                <w:szCs w:val="21"/>
              </w:rPr>
            </w:pPr>
            <w:r>
              <w:rPr>
                <w:rFonts w:hint="eastAsia" w:ascii="宋体" w:hAnsi="宋体" w:cs="宋体"/>
                <w:szCs w:val="21"/>
              </w:rPr>
              <w:t>需要补充的其他内容：无</w:t>
            </w:r>
          </w:p>
        </w:tc>
      </w:tr>
    </w:tbl>
    <w:p>
      <w:pPr>
        <w:pStyle w:val="6"/>
        <w:spacing w:line="360" w:lineRule="auto"/>
        <w:rPr>
          <w:rFonts w:hAnsi="宋体"/>
          <w:sz w:val="24"/>
        </w:rPr>
      </w:pPr>
      <w:r>
        <w:rPr>
          <w:rFonts w:hAnsi="宋体"/>
          <w:sz w:val="24"/>
        </w:rPr>
        <w:br w:type="page"/>
      </w:r>
      <w:r>
        <w:rPr>
          <w:rFonts w:hint="eastAsia" w:hAnsi="宋体"/>
          <w:sz w:val="24"/>
        </w:rPr>
        <w:t>具体评分标准如下：</w:t>
      </w:r>
    </w:p>
    <w:tbl>
      <w:tblPr>
        <w:tblStyle w:val="7"/>
        <w:tblW w:w="94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6"/>
        <w:gridCol w:w="768"/>
        <w:gridCol w:w="557"/>
        <w:gridCol w:w="1558"/>
        <w:gridCol w:w="506"/>
        <w:gridCol w:w="5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vAlign w:val="center"/>
          </w:tcPr>
          <w:p>
            <w:pPr>
              <w:autoSpaceDE w:val="0"/>
              <w:autoSpaceDN w:val="0"/>
              <w:jc w:val="center"/>
              <w:rPr>
                <w:rFonts w:ascii="宋体" w:hAnsi="宋体" w:cs="宋体"/>
                <w:b/>
                <w:kern w:val="0"/>
                <w:sz w:val="18"/>
                <w:szCs w:val="18"/>
              </w:rPr>
            </w:pPr>
            <w:r>
              <w:rPr>
                <w:rFonts w:hint="eastAsia" w:ascii="宋体" w:hAnsi="宋体" w:cs="宋体"/>
                <w:b/>
                <w:kern w:val="0"/>
                <w:sz w:val="18"/>
                <w:szCs w:val="18"/>
              </w:rPr>
              <w:t>条款号</w:t>
            </w:r>
          </w:p>
        </w:tc>
        <w:tc>
          <w:tcPr>
            <w:tcW w:w="768" w:type="dxa"/>
            <w:vAlign w:val="center"/>
          </w:tcPr>
          <w:p>
            <w:pPr>
              <w:autoSpaceDE w:val="0"/>
              <w:autoSpaceDN w:val="0"/>
              <w:jc w:val="center"/>
              <w:rPr>
                <w:rFonts w:ascii="宋体" w:hAnsi="宋体" w:cs="宋体"/>
                <w:b/>
                <w:kern w:val="0"/>
                <w:sz w:val="18"/>
                <w:szCs w:val="18"/>
              </w:rPr>
            </w:pPr>
            <w:r>
              <w:rPr>
                <w:rFonts w:hint="eastAsia" w:ascii="宋体" w:hAnsi="宋体" w:cs="宋体"/>
                <w:b/>
                <w:kern w:val="0"/>
                <w:sz w:val="18"/>
                <w:szCs w:val="18"/>
              </w:rPr>
              <w:t>评审因素</w:t>
            </w:r>
          </w:p>
        </w:tc>
        <w:tc>
          <w:tcPr>
            <w:tcW w:w="557" w:type="dxa"/>
            <w:vAlign w:val="center"/>
          </w:tcPr>
          <w:p>
            <w:pPr>
              <w:autoSpaceDE w:val="0"/>
              <w:autoSpaceDN w:val="0"/>
              <w:jc w:val="center"/>
              <w:rPr>
                <w:rFonts w:ascii="宋体" w:hAnsi="宋体" w:cs="宋体"/>
                <w:b/>
                <w:kern w:val="0"/>
                <w:sz w:val="18"/>
                <w:szCs w:val="18"/>
              </w:rPr>
            </w:pPr>
            <w:r>
              <w:rPr>
                <w:rFonts w:hint="eastAsia" w:ascii="宋体" w:hAnsi="宋体" w:cs="宋体"/>
                <w:b/>
                <w:kern w:val="0"/>
                <w:sz w:val="18"/>
                <w:szCs w:val="18"/>
              </w:rPr>
              <w:t>评分因素权重分值</w:t>
            </w:r>
          </w:p>
        </w:tc>
        <w:tc>
          <w:tcPr>
            <w:tcW w:w="1558" w:type="dxa"/>
            <w:tcBorders>
              <w:right w:val="single" w:color="auto" w:sz="4" w:space="0"/>
            </w:tcBorders>
            <w:vAlign w:val="center"/>
          </w:tcPr>
          <w:p>
            <w:pPr>
              <w:autoSpaceDE w:val="0"/>
              <w:autoSpaceDN w:val="0"/>
              <w:jc w:val="center"/>
              <w:rPr>
                <w:rFonts w:ascii="宋体" w:hAnsi="宋体" w:cs="宋体"/>
                <w:b/>
                <w:kern w:val="0"/>
                <w:sz w:val="18"/>
                <w:szCs w:val="18"/>
              </w:rPr>
            </w:pPr>
            <w:r>
              <w:rPr>
                <w:rFonts w:hint="eastAsia" w:ascii="宋体" w:hAnsi="宋体" w:cs="宋体"/>
                <w:b/>
                <w:kern w:val="0"/>
                <w:sz w:val="18"/>
                <w:szCs w:val="18"/>
              </w:rPr>
              <w:t>各评分因素细分项</w:t>
            </w:r>
          </w:p>
        </w:tc>
        <w:tc>
          <w:tcPr>
            <w:tcW w:w="506" w:type="dxa"/>
            <w:tcBorders>
              <w:left w:val="single" w:color="auto" w:sz="4" w:space="0"/>
              <w:right w:val="single" w:color="auto" w:sz="4" w:space="0"/>
            </w:tcBorders>
            <w:vAlign w:val="center"/>
          </w:tcPr>
          <w:p>
            <w:pPr>
              <w:autoSpaceDE w:val="0"/>
              <w:autoSpaceDN w:val="0"/>
              <w:jc w:val="center"/>
              <w:rPr>
                <w:rFonts w:ascii="宋体" w:hAnsi="宋体" w:cs="宋体"/>
                <w:b/>
                <w:kern w:val="0"/>
                <w:sz w:val="18"/>
                <w:szCs w:val="18"/>
              </w:rPr>
            </w:pPr>
            <w:r>
              <w:rPr>
                <w:rFonts w:ascii="宋体" w:hAnsi="宋体" w:cs="宋体"/>
                <w:b/>
                <w:kern w:val="0"/>
                <w:sz w:val="18"/>
                <w:szCs w:val="18"/>
              </w:rPr>
              <w:t>分值</w:t>
            </w:r>
          </w:p>
        </w:tc>
        <w:tc>
          <w:tcPr>
            <w:tcW w:w="5569" w:type="dxa"/>
            <w:tcBorders>
              <w:left w:val="single" w:color="auto" w:sz="4" w:space="0"/>
            </w:tcBorders>
            <w:vAlign w:val="center"/>
          </w:tcPr>
          <w:p>
            <w:pPr>
              <w:autoSpaceDE w:val="0"/>
              <w:autoSpaceDN w:val="0"/>
              <w:jc w:val="center"/>
              <w:rPr>
                <w:rFonts w:ascii="宋体" w:hAnsi="宋体" w:cs="宋体"/>
                <w:b/>
                <w:kern w:val="0"/>
                <w:sz w:val="18"/>
                <w:szCs w:val="18"/>
              </w:rPr>
            </w:pPr>
            <w:r>
              <w:rPr>
                <w:rFonts w:ascii="宋体" w:hAnsi="宋体" w:cs="宋体"/>
                <w:b/>
                <w:kern w:val="0"/>
                <w:sz w:val="18"/>
                <w:szCs w:val="18"/>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restart"/>
            <w:vAlign w:val="center"/>
          </w:tcPr>
          <w:p>
            <w:pPr>
              <w:pStyle w:val="6"/>
              <w:ind w:left="0"/>
              <w:jc w:val="center"/>
              <w:rPr>
                <w:rFonts w:ascii="宋体" w:hAnsi="宋体" w:cs="宋体"/>
                <w:sz w:val="21"/>
                <w:szCs w:val="21"/>
              </w:rPr>
            </w:pPr>
            <w:r>
              <w:rPr>
                <w:rFonts w:hint="eastAsia" w:ascii="宋体" w:hAnsi="宋体" w:cs="宋体"/>
                <w:sz w:val="21"/>
                <w:szCs w:val="21"/>
              </w:rPr>
              <w:t>2.2.4（1）</w:t>
            </w:r>
          </w:p>
        </w:tc>
        <w:tc>
          <w:tcPr>
            <w:tcW w:w="768" w:type="dxa"/>
            <w:vMerge w:val="restart"/>
            <w:vAlign w:val="center"/>
          </w:tcPr>
          <w:p>
            <w:pPr>
              <w:pStyle w:val="6"/>
              <w:ind w:left="0"/>
              <w:jc w:val="center"/>
              <w:rPr>
                <w:rFonts w:ascii="宋体" w:hAnsi="宋体" w:cs="宋体"/>
                <w:sz w:val="21"/>
                <w:szCs w:val="21"/>
              </w:rPr>
            </w:pPr>
            <w:r>
              <w:rPr>
                <w:rFonts w:hint="eastAsia" w:ascii="宋体" w:hAnsi="宋体" w:cs="宋体"/>
                <w:sz w:val="21"/>
                <w:szCs w:val="21"/>
              </w:rPr>
              <w:t>技术服务</w:t>
            </w:r>
          </w:p>
        </w:tc>
        <w:tc>
          <w:tcPr>
            <w:tcW w:w="557" w:type="dxa"/>
            <w:vMerge w:val="restart"/>
            <w:vAlign w:val="center"/>
          </w:tcPr>
          <w:p>
            <w:pPr>
              <w:pStyle w:val="6"/>
              <w:ind w:left="0"/>
              <w:jc w:val="center"/>
              <w:rPr>
                <w:rFonts w:ascii="宋体" w:hAnsi="宋体" w:cs="宋体"/>
                <w:sz w:val="21"/>
                <w:szCs w:val="21"/>
              </w:rPr>
            </w:pPr>
            <w:r>
              <w:rPr>
                <w:rFonts w:hint="eastAsia" w:ascii="宋体" w:hAnsi="宋体" w:cs="宋体"/>
                <w:sz w:val="21"/>
                <w:szCs w:val="21"/>
              </w:rPr>
              <w:t>60分</w:t>
            </w:r>
          </w:p>
        </w:tc>
        <w:tc>
          <w:tcPr>
            <w:tcW w:w="1558" w:type="dxa"/>
            <w:tcBorders>
              <w:right w:val="single" w:color="auto" w:sz="4" w:space="0"/>
            </w:tcBorders>
            <w:vAlign w:val="center"/>
          </w:tcPr>
          <w:p>
            <w:pPr>
              <w:spacing w:before="156" w:beforeLines="50" w:after="156" w:afterLines="50"/>
              <w:ind w:right="113"/>
              <w:jc w:val="center"/>
              <w:rPr>
                <w:rFonts w:cs="宋体" w:asciiTheme="minorEastAsia" w:hAnsiTheme="minorEastAsia" w:eastAsiaTheme="minorEastAsia"/>
                <w:spacing w:val="-6"/>
                <w:szCs w:val="21"/>
              </w:rPr>
            </w:pPr>
            <w:r>
              <w:rPr>
                <w:rFonts w:hint="eastAsia" w:asciiTheme="minorEastAsia" w:hAnsiTheme="minorEastAsia" w:eastAsiaTheme="minorEastAsia"/>
                <w:szCs w:val="21"/>
              </w:rPr>
              <w:t>总体服务方案(</w:t>
            </w:r>
            <w:r>
              <w:rPr>
                <w:rFonts w:asciiTheme="minorEastAsia" w:hAnsiTheme="minorEastAsia" w:eastAsiaTheme="minorEastAsia"/>
                <w:szCs w:val="21"/>
              </w:rPr>
              <w:t>20</w:t>
            </w:r>
            <w:r>
              <w:rPr>
                <w:rFonts w:hint="eastAsia" w:asciiTheme="minorEastAsia" w:hAnsiTheme="minorEastAsia" w:eastAsiaTheme="minorEastAsia"/>
                <w:szCs w:val="21"/>
              </w:rPr>
              <w:t>分)</w:t>
            </w:r>
          </w:p>
        </w:tc>
        <w:tc>
          <w:tcPr>
            <w:tcW w:w="506" w:type="dxa"/>
            <w:tcBorders>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5569" w:type="dxa"/>
            <w:tcBorders>
              <w:left w:val="single" w:color="auto" w:sz="4" w:space="0"/>
            </w:tcBorders>
            <w:vAlign w:val="center"/>
          </w:tcPr>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针对本项目的专业技术水平、服务管理水平、服务监督及服务保证措施、安全防范与防灾防损服务、建立投诉制度等的综合评估：</w:t>
            </w:r>
          </w:p>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服务方案优良，科学合理，得16（不含）—20</w:t>
            </w:r>
            <w:r>
              <w:rPr>
                <w:rFonts w:asciiTheme="minorEastAsia" w:hAnsiTheme="minorEastAsia" w:eastAsiaTheme="minorEastAsia"/>
                <w:kern w:val="0"/>
                <w:szCs w:val="21"/>
              </w:rPr>
              <w:t>分；</w:t>
            </w:r>
          </w:p>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服务方案较完善，得12（不含）—16</w:t>
            </w:r>
            <w:r>
              <w:rPr>
                <w:rFonts w:asciiTheme="minorEastAsia" w:hAnsiTheme="minorEastAsia" w:eastAsiaTheme="minorEastAsia"/>
                <w:kern w:val="0"/>
                <w:szCs w:val="21"/>
              </w:rPr>
              <w:t>分；</w:t>
            </w:r>
          </w:p>
          <w:p>
            <w:pPr>
              <w:tabs>
                <w:tab w:val="left" w:pos="1914"/>
              </w:tabs>
              <w:spacing w:before="38"/>
              <w:ind w:right="268"/>
              <w:rPr>
                <w:rFonts w:asciiTheme="minorEastAsia" w:hAnsiTheme="minorEastAsia" w:eastAsiaTheme="minorEastAsia"/>
                <w:w w:val="105"/>
                <w:sz w:val="20"/>
              </w:rPr>
            </w:pPr>
            <w:r>
              <w:rPr>
                <w:rFonts w:hint="eastAsia" w:asciiTheme="minorEastAsia" w:hAnsiTheme="minorEastAsia" w:eastAsiaTheme="minorEastAsia"/>
                <w:kern w:val="0"/>
                <w:szCs w:val="21"/>
              </w:rPr>
              <w:t>服务方案一般，得12分。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pStyle w:val="6"/>
              <w:ind w:left="0"/>
              <w:jc w:val="center"/>
              <w:rPr>
                <w:rFonts w:ascii="宋体" w:hAnsi="宋体" w:cs="宋体"/>
                <w:sz w:val="21"/>
                <w:szCs w:val="21"/>
              </w:rPr>
            </w:pPr>
          </w:p>
        </w:tc>
        <w:tc>
          <w:tcPr>
            <w:tcW w:w="768" w:type="dxa"/>
            <w:vMerge w:val="continue"/>
            <w:vAlign w:val="center"/>
          </w:tcPr>
          <w:p>
            <w:pPr>
              <w:pStyle w:val="6"/>
              <w:ind w:left="0"/>
              <w:jc w:val="center"/>
              <w:rPr>
                <w:rFonts w:ascii="宋体" w:hAnsi="宋体" w:cs="宋体"/>
                <w:sz w:val="21"/>
                <w:szCs w:val="21"/>
              </w:rPr>
            </w:pPr>
          </w:p>
        </w:tc>
        <w:tc>
          <w:tcPr>
            <w:tcW w:w="557" w:type="dxa"/>
            <w:vMerge w:val="continue"/>
            <w:vAlign w:val="center"/>
          </w:tcPr>
          <w:p>
            <w:pPr>
              <w:pStyle w:val="6"/>
              <w:ind w:left="0"/>
              <w:jc w:val="center"/>
              <w:rPr>
                <w:rFonts w:ascii="宋体" w:hAnsi="宋体" w:cs="宋体"/>
                <w:sz w:val="21"/>
                <w:szCs w:val="21"/>
              </w:rPr>
            </w:pPr>
          </w:p>
        </w:tc>
        <w:tc>
          <w:tcPr>
            <w:tcW w:w="1558" w:type="dxa"/>
            <w:tcBorders>
              <w:right w:val="single" w:color="auto" w:sz="4" w:space="0"/>
            </w:tcBorders>
            <w:vAlign w:val="center"/>
          </w:tcPr>
          <w:p>
            <w:pPr>
              <w:spacing w:before="156" w:beforeLines="50" w:after="156" w:afterLines="50"/>
              <w:ind w:right="113"/>
              <w:jc w:val="center"/>
              <w:rPr>
                <w:rFonts w:cs="宋体" w:asciiTheme="minorEastAsia" w:hAnsiTheme="minorEastAsia" w:eastAsiaTheme="minorEastAsia"/>
                <w:spacing w:val="-6"/>
                <w:szCs w:val="21"/>
              </w:rPr>
            </w:pPr>
            <w:r>
              <w:rPr>
                <w:rFonts w:hint="eastAsia" w:asciiTheme="minorEastAsia" w:hAnsiTheme="minorEastAsia" w:eastAsiaTheme="minorEastAsia"/>
                <w:szCs w:val="21"/>
              </w:rPr>
              <w:t>理赔方案(</w:t>
            </w:r>
            <w:r>
              <w:rPr>
                <w:rFonts w:asciiTheme="minorEastAsia" w:hAnsiTheme="minorEastAsia" w:eastAsiaTheme="minorEastAsia"/>
                <w:szCs w:val="21"/>
              </w:rPr>
              <w:t>20</w:t>
            </w:r>
            <w:r>
              <w:rPr>
                <w:rFonts w:hint="eastAsia" w:asciiTheme="minorEastAsia" w:hAnsiTheme="minorEastAsia" w:eastAsiaTheme="minorEastAsia"/>
                <w:szCs w:val="21"/>
              </w:rPr>
              <w:t>分)</w:t>
            </w:r>
          </w:p>
        </w:tc>
        <w:tc>
          <w:tcPr>
            <w:tcW w:w="506" w:type="dxa"/>
            <w:tcBorders>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5569" w:type="dxa"/>
            <w:tcBorders>
              <w:left w:val="single" w:color="auto" w:sz="4" w:space="0"/>
            </w:tcBorders>
            <w:vAlign w:val="center"/>
          </w:tcPr>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针对本项目设立理赔绿色通道；明确理赔单证；简化理赔流程；承诺理赔时效；损失证明和赔款支付或预付；负责理赔的指导与协调等内容的综合评估：</w:t>
            </w:r>
          </w:p>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理赔方案优良，科学合理，得16（不含）—20</w:t>
            </w:r>
            <w:r>
              <w:rPr>
                <w:rFonts w:asciiTheme="minorEastAsia" w:hAnsiTheme="minorEastAsia" w:eastAsiaTheme="minorEastAsia"/>
                <w:kern w:val="0"/>
                <w:szCs w:val="21"/>
              </w:rPr>
              <w:t>分；</w:t>
            </w:r>
          </w:p>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理赔方案较完善，得12（不含）—16</w:t>
            </w:r>
            <w:r>
              <w:rPr>
                <w:rFonts w:asciiTheme="minorEastAsia" w:hAnsiTheme="minorEastAsia" w:eastAsiaTheme="minorEastAsia"/>
                <w:kern w:val="0"/>
                <w:szCs w:val="21"/>
              </w:rPr>
              <w:t>分；</w:t>
            </w:r>
          </w:p>
          <w:p>
            <w:pPr>
              <w:tabs>
                <w:tab w:val="left" w:pos="1914"/>
              </w:tabs>
              <w:spacing w:before="38"/>
              <w:ind w:right="268"/>
              <w:rPr>
                <w:rFonts w:asciiTheme="minorEastAsia" w:hAnsiTheme="minorEastAsia" w:eastAsiaTheme="minorEastAsia"/>
                <w:w w:val="105"/>
                <w:sz w:val="20"/>
              </w:rPr>
            </w:pPr>
            <w:r>
              <w:rPr>
                <w:rFonts w:hint="eastAsia" w:asciiTheme="minorEastAsia" w:hAnsiTheme="minorEastAsia" w:eastAsiaTheme="minorEastAsia"/>
                <w:kern w:val="0"/>
                <w:szCs w:val="21"/>
              </w:rPr>
              <w:t>理赔方案一般，得12分。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pStyle w:val="6"/>
              <w:ind w:left="0"/>
              <w:jc w:val="center"/>
              <w:rPr>
                <w:rFonts w:ascii="宋体" w:hAnsi="宋体" w:cs="宋体"/>
                <w:sz w:val="21"/>
                <w:szCs w:val="21"/>
              </w:rPr>
            </w:pPr>
          </w:p>
        </w:tc>
        <w:tc>
          <w:tcPr>
            <w:tcW w:w="768" w:type="dxa"/>
            <w:vMerge w:val="continue"/>
            <w:vAlign w:val="center"/>
          </w:tcPr>
          <w:p>
            <w:pPr>
              <w:pStyle w:val="6"/>
              <w:ind w:left="0"/>
              <w:jc w:val="center"/>
              <w:rPr>
                <w:rFonts w:ascii="宋体" w:hAnsi="宋体" w:cs="宋体"/>
                <w:sz w:val="21"/>
                <w:szCs w:val="21"/>
              </w:rPr>
            </w:pPr>
          </w:p>
        </w:tc>
        <w:tc>
          <w:tcPr>
            <w:tcW w:w="557" w:type="dxa"/>
            <w:vMerge w:val="continue"/>
            <w:vAlign w:val="center"/>
          </w:tcPr>
          <w:p>
            <w:pPr>
              <w:pStyle w:val="6"/>
              <w:ind w:left="0"/>
              <w:jc w:val="center"/>
              <w:rPr>
                <w:rFonts w:ascii="宋体" w:hAnsi="宋体" w:cs="宋体"/>
                <w:sz w:val="21"/>
                <w:szCs w:val="21"/>
              </w:rPr>
            </w:pPr>
          </w:p>
        </w:tc>
        <w:tc>
          <w:tcPr>
            <w:tcW w:w="1558" w:type="dxa"/>
            <w:tcBorders>
              <w:right w:val="single" w:color="auto" w:sz="4" w:space="0"/>
            </w:tcBorders>
            <w:vAlign w:val="center"/>
          </w:tcPr>
          <w:p>
            <w:pPr>
              <w:spacing w:before="156" w:beforeLines="50" w:after="156" w:afterLines="50"/>
              <w:ind w:right="113"/>
              <w:jc w:val="center"/>
              <w:rPr>
                <w:rFonts w:cs="宋体" w:asciiTheme="minorEastAsia" w:hAnsiTheme="minorEastAsia" w:eastAsiaTheme="minorEastAsia"/>
                <w:spacing w:val="-6"/>
                <w:szCs w:val="21"/>
              </w:rPr>
            </w:pPr>
            <w:r>
              <w:rPr>
                <w:rFonts w:hint="eastAsia" w:asciiTheme="minorEastAsia" w:hAnsiTheme="minorEastAsia" w:eastAsiaTheme="minorEastAsia"/>
                <w:szCs w:val="21"/>
              </w:rPr>
              <w:t>服务网点（10分）</w:t>
            </w:r>
          </w:p>
        </w:tc>
        <w:tc>
          <w:tcPr>
            <w:tcW w:w="506" w:type="dxa"/>
            <w:tcBorders>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569" w:type="dxa"/>
            <w:tcBorders>
              <w:left w:val="single" w:color="auto" w:sz="4" w:space="0"/>
            </w:tcBorders>
            <w:vAlign w:val="center"/>
          </w:tcPr>
          <w:p>
            <w:pPr>
              <w:pStyle w:val="13"/>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供应商在河北高速公路集团有限公司养护分公司石安养护分中心所辖路段沿线地级城市（邯郸、邢台、石家庄）均设有分支机构的得10分，其余不得分。 </w:t>
            </w:r>
          </w:p>
          <w:p>
            <w:pPr>
              <w:tabs>
                <w:tab w:val="left" w:pos="1914"/>
              </w:tabs>
              <w:spacing w:before="38"/>
              <w:ind w:right="268"/>
              <w:rPr>
                <w:rFonts w:asciiTheme="minorEastAsia" w:hAnsiTheme="minorEastAsia" w:eastAsiaTheme="minorEastAsia"/>
                <w:w w:val="105"/>
                <w:sz w:val="20"/>
              </w:rPr>
            </w:pPr>
            <w:r>
              <w:rPr>
                <w:rFonts w:hint="eastAsia" w:asciiTheme="minorEastAsia" w:hAnsiTheme="minorEastAsia" w:eastAsiaTheme="minorEastAsia"/>
                <w:kern w:val="0"/>
                <w:szCs w:val="21"/>
              </w:rPr>
              <w:t>（保险机构服务网点必须为保监会批准备案的正式机构，保监会批准的经营业务许可证和该机构营业执照复印件附到响应文件中，否则不得分）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pStyle w:val="6"/>
              <w:ind w:left="0"/>
              <w:jc w:val="center"/>
              <w:rPr>
                <w:rFonts w:ascii="宋体" w:hAnsi="宋体" w:cs="宋体"/>
                <w:sz w:val="21"/>
                <w:szCs w:val="21"/>
              </w:rPr>
            </w:pPr>
          </w:p>
        </w:tc>
        <w:tc>
          <w:tcPr>
            <w:tcW w:w="768" w:type="dxa"/>
            <w:vMerge w:val="continue"/>
            <w:vAlign w:val="center"/>
          </w:tcPr>
          <w:p>
            <w:pPr>
              <w:pStyle w:val="6"/>
              <w:ind w:left="0"/>
              <w:jc w:val="center"/>
              <w:rPr>
                <w:rFonts w:ascii="宋体" w:hAnsi="宋体" w:cs="宋体"/>
                <w:sz w:val="21"/>
                <w:szCs w:val="21"/>
              </w:rPr>
            </w:pPr>
          </w:p>
        </w:tc>
        <w:tc>
          <w:tcPr>
            <w:tcW w:w="557" w:type="dxa"/>
            <w:vMerge w:val="continue"/>
            <w:vAlign w:val="center"/>
          </w:tcPr>
          <w:p>
            <w:pPr>
              <w:pStyle w:val="6"/>
              <w:ind w:left="0"/>
              <w:jc w:val="center"/>
              <w:rPr>
                <w:rFonts w:ascii="宋体" w:hAnsi="宋体" w:cs="宋体"/>
                <w:sz w:val="21"/>
                <w:szCs w:val="21"/>
              </w:rPr>
            </w:pPr>
          </w:p>
        </w:tc>
        <w:tc>
          <w:tcPr>
            <w:tcW w:w="1558" w:type="dxa"/>
            <w:tcBorders>
              <w:right w:val="single" w:color="auto" w:sz="4" w:space="0"/>
            </w:tcBorders>
            <w:vAlign w:val="center"/>
          </w:tcPr>
          <w:p>
            <w:pPr>
              <w:spacing w:before="156" w:beforeLines="50" w:after="156" w:afterLines="50"/>
              <w:ind w:right="113"/>
              <w:jc w:val="center"/>
              <w:rPr>
                <w:rFonts w:cs="宋体" w:asciiTheme="minorEastAsia" w:hAnsiTheme="minorEastAsia" w:eastAsiaTheme="minorEastAsia"/>
                <w:spacing w:val="-6"/>
                <w:szCs w:val="21"/>
              </w:rPr>
            </w:pPr>
            <w:r>
              <w:rPr>
                <w:rFonts w:hint="eastAsia" w:asciiTheme="minorEastAsia" w:hAnsiTheme="minorEastAsia" w:eastAsiaTheme="minorEastAsia"/>
                <w:szCs w:val="21"/>
              </w:rPr>
              <w:t>服务承诺(10分)</w:t>
            </w:r>
          </w:p>
        </w:tc>
        <w:tc>
          <w:tcPr>
            <w:tcW w:w="506" w:type="dxa"/>
            <w:tcBorders>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569" w:type="dxa"/>
            <w:tcBorders>
              <w:left w:val="single" w:color="auto" w:sz="4" w:space="0"/>
            </w:tcBorders>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服务承诺科学合理、保险及理赔响应及时、客户利益最大化，得8</w:t>
            </w:r>
            <w:r>
              <w:rPr>
                <w:rFonts w:hint="eastAsia" w:asciiTheme="minorEastAsia" w:hAnsiTheme="minorEastAsia" w:eastAsiaTheme="minorEastAsia"/>
                <w:kern w:val="0"/>
                <w:szCs w:val="21"/>
              </w:rPr>
              <w:t>（不含）</w:t>
            </w:r>
            <w:r>
              <w:rPr>
                <w:rFonts w:hint="eastAsia" w:asciiTheme="minorEastAsia" w:hAnsiTheme="minorEastAsia" w:eastAsiaTheme="minorEastAsia"/>
                <w:szCs w:val="21"/>
              </w:rPr>
              <w:t>-10分；</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服务承诺科学较合理、保险及理赔响应较及时，得6</w:t>
            </w:r>
            <w:r>
              <w:rPr>
                <w:rFonts w:hint="eastAsia" w:asciiTheme="minorEastAsia" w:hAnsiTheme="minorEastAsia" w:eastAsiaTheme="minorEastAsia"/>
                <w:kern w:val="0"/>
                <w:szCs w:val="21"/>
              </w:rPr>
              <w:t>（不含）</w:t>
            </w:r>
            <w:r>
              <w:rPr>
                <w:rFonts w:hint="eastAsia" w:asciiTheme="minorEastAsia" w:hAnsiTheme="minorEastAsia" w:eastAsiaTheme="minorEastAsia"/>
                <w:szCs w:val="21"/>
              </w:rPr>
              <w:t>-8分；</w:t>
            </w:r>
          </w:p>
          <w:p>
            <w:pPr>
              <w:tabs>
                <w:tab w:val="left" w:pos="1914"/>
              </w:tabs>
              <w:spacing w:before="38"/>
              <w:ind w:right="268"/>
              <w:rPr>
                <w:rFonts w:asciiTheme="minorEastAsia" w:hAnsiTheme="minorEastAsia" w:eastAsiaTheme="minorEastAsia"/>
                <w:w w:val="105"/>
                <w:sz w:val="20"/>
              </w:rPr>
            </w:pPr>
            <w:r>
              <w:rPr>
                <w:rFonts w:hint="eastAsia" w:asciiTheme="minorEastAsia" w:hAnsiTheme="minorEastAsia" w:eastAsiaTheme="minorEastAsia"/>
                <w:szCs w:val="21"/>
              </w:rPr>
              <w:t>服务承诺一般得6分。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526"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2.2.4（2）</w:t>
            </w:r>
          </w:p>
        </w:tc>
        <w:tc>
          <w:tcPr>
            <w:tcW w:w="768" w:type="dxa"/>
            <w:vAlign w:val="center"/>
          </w:tcPr>
          <w:p>
            <w:pPr>
              <w:pStyle w:val="6"/>
              <w:ind w:left="0"/>
              <w:jc w:val="center"/>
              <w:rPr>
                <w:rFonts w:ascii="宋体" w:hAnsi="宋体" w:cs="宋体"/>
                <w:sz w:val="21"/>
                <w:szCs w:val="21"/>
              </w:rPr>
            </w:pPr>
            <w:r>
              <w:rPr>
                <w:rFonts w:ascii="宋体" w:hAnsi="宋体" w:cs="宋体"/>
                <w:sz w:val="21"/>
                <w:szCs w:val="21"/>
              </w:rPr>
              <w:t>商务部分</w:t>
            </w:r>
          </w:p>
        </w:tc>
        <w:tc>
          <w:tcPr>
            <w:tcW w:w="557" w:type="dxa"/>
            <w:vAlign w:val="center"/>
          </w:tcPr>
          <w:p>
            <w:pPr>
              <w:pStyle w:val="6"/>
              <w:ind w:left="0"/>
              <w:jc w:val="center"/>
              <w:rPr>
                <w:rFonts w:ascii="宋体" w:hAnsi="宋体" w:cs="宋体"/>
                <w:sz w:val="21"/>
                <w:szCs w:val="21"/>
              </w:rPr>
            </w:pPr>
            <w:r>
              <w:rPr>
                <w:rFonts w:hint="eastAsia" w:ascii="宋体" w:hAnsi="宋体" w:cs="宋体"/>
                <w:sz w:val="21"/>
                <w:szCs w:val="21"/>
              </w:rPr>
              <w:t>10分</w:t>
            </w:r>
          </w:p>
        </w:tc>
        <w:tc>
          <w:tcPr>
            <w:tcW w:w="1558" w:type="dxa"/>
            <w:tcBorders>
              <w:right w:val="single" w:color="auto" w:sz="4" w:space="0"/>
            </w:tcBorders>
            <w:vAlign w:val="center"/>
          </w:tcPr>
          <w:p>
            <w:pPr>
              <w:pStyle w:val="6"/>
              <w:ind w:lef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w:t>
            </w:r>
          </w:p>
        </w:tc>
        <w:tc>
          <w:tcPr>
            <w:tcW w:w="506" w:type="dxa"/>
            <w:tcBorders>
              <w:top w:val="single" w:color="auto" w:sz="4" w:space="0"/>
              <w:left w:val="single" w:color="auto" w:sz="4" w:space="0"/>
              <w:right w:val="single" w:color="auto" w:sz="4" w:space="0"/>
            </w:tcBorders>
            <w:vAlign w:val="center"/>
          </w:tcPr>
          <w:p>
            <w:pPr>
              <w:pStyle w:val="6"/>
              <w:ind w:left="0"/>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10分</w:t>
            </w:r>
          </w:p>
        </w:tc>
        <w:tc>
          <w:tcPr>
            <w:tcW w:w="5569" w:type="dxa"/>
            <w:tcBorders>
              <w:top w:val="single" w:color="auto" w:sz="4" w:space="0"/>
              <w:left w:val="single" w:color="auto" w:sz="4" w:space="0"/>
            </w:tcBorders>
            <w:vAlign w:val="center"/>
          </w:tcPr>
          <w:p>
            <w:pPr>
              <w:textAlignment w:val="center"/>
              <w:rPr>
                <w:rFonts w:asciiTheme="minorEastAsia" w:hAnsiTheme="minorEastAsia" w:eastAsiaTheme="minorEastAsia"/>
                <w:kern w:val="0"/>
                <w:szCs w:val="21"/>
              </w:rPr>
            </w:pPr>
            <w:r>
              <w:rPr>
                <w:rFonts w:hint="eastAsia" w:ascii="宋体" w:hAnsi="宋体"/>
                <w:szCs w:val="21"/>
              </w:rPr>
              <w:t>满足资格审查条件（业绩最低要求）的，得6分；</w:t>
            </w:r>
          </w:p>
          <w:p>
            <w:pPr>
              <w:textAlignment w:val="center"/>
              <w:rPr>
                <w:rFonts w:cs="宋体" w:asciiTheme="minorEastAsia" w:hAnsiTheme="minorEastAsia" w:eastAsiaTheme="minorEastAsia"/>
                <w:szCs w:val="21"/>
              </w:rPr>
            </w:pPr>
            <w:r>
              <w:rPr>
                <w:rFonts w:hint="eastAsia" w:asciiTheme="minorEastAsia" w:hAnsiTheme="minorEastAsia" w:eastAsiaTheme="minorEastAsia"/>
                <w:kern w:val="0"/>
                <w:szCs w:val="21"/>
              </w:rPr>
              <w:t>201</w:t>
            </w:r>
            <w:r>
              <w:rPr>
                <w:rFonts w:asciiTheme="minorEastAsia" w:hAnsiTheme="minorEastAsia" w:eastAsiaTheme="minorEastAsia"/>
                <w:kern w:val="0"/>
                <w:szCs w:val="21"/>
              </w:rPr>
              <w:t>9</w:t>
            </w:r>
            <w:r>
              <w:rPr>
                <w:rFonts w:hint="eastAsia" w:asciiTheme="minorEastAsia" w:hAnsiTheme="minorEastAsia" w:eastAsiaTheme="minorEastAsia"/>
                <w:kern w:val="0"/>
                <w:szCs w:val="21"/>
              </w:rPr>
              <w:t>年11月1日至今（以保险协议或保单合同签署日期为准），投标人每增加1个100人以上意外保险业绩，加1分</w:t>
            </w:r>
            <w:r>
              <w:rPr>
                <w:rFonts w:hint="eastAsia" w:ascii="宋体" w:hAnsi="宋体"/>
                <w:szCs w:val="21"/>
              </w:rPr>
              <w:t>，本项最多加4分。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vAlign w:val="center"/>
          </w:tcPr>
          <w:p>
            <w:pPr>
              <w:autoSpaceDE w:val="0"/>
              <w:autoSpaceDN w:val="0"/>
              <w:rPr>
                <w:rFonts w:ascii="宋体" w:hAnsi="宋体" w:cs="宋体"/>
                <w:kern w:val="0"/>
                <w:szCs w:val="21"/>
              </w:rPr>
            </w:pPr>
            <w:r>
              <w:rPr>
                <w:rFonts w:hint="eastAsia" w:ascii="宋体" w:hAnsi="宋体" w:cs="宋体"/>
                <w:kern w:val="0"/>
                <w:szCs w:val="21"/>
              </w:rPr>
              <w:t>2.2.4（3）</w:t>
            </w:r>
          </w:p>
        </w:tc>
        <w:tc>
          <w:tcPr>
            <w:tcW w:w="768" w:type="dxa"/>
            <w:vAlign w:val="center"/>
          </w:tcPr>
          <w:p>
            <w:pPr>
              <w:autoSpaceDE w:val="0"/>
              <w:autoSpaceDN w:val="0"/>
              <w:jc w:val="center"/>
              <w:rPr>
                <w:rFonts w:ascii="宋体" w:hAnsi="宋体" w:cs="宋体"/>
                <w:kern w:val="0"/>
                <w:szCs w:val="21"/>
              </w:rPr>
            </w:pPr>
            <w:r>
              <w:rPr>
                <w:rFonts w:hint="eastAsia" w:ascii="宋体" w:hAnsi="宋体" w:cs="宋体"/>
                <w:kern w:val="0"/>
                <w:szCs w:val="21"/>
              </w:rPr>
              <w:t>评标价</w:t>
            </w:r>
          </w:p>
        </w:tc>
        <w:tc>
          <w:tcPr>
            <w:tcW w:w="557" w:type="dxa"/>
            <w:vAlign w:val="center"/>
          </w:tcPr>
          <w:p>
            <w:pPr>
              <w:autoSpaceDE w:val="0"/>
              <w:autoSpaceDN w:val="0"/>
              <w:jc w:val="center"/>
              <w:rPr>
                <w:rFonts w:ascii="宋体" w:hAnsi="宋体" w:cs="宋体"/>
                <w:kern w:val="0"/>
                <w:szCs w:val="21"/>
              </w:rPr>
            </w:pPr>
            <w:r>
              <w:rPr>
                <w:rFonts w:hint="eastAsia" w:ascii="宋体" w:hAnsi="宋体" w:cs="宋体"/>
                <w:kern w:val="0"/>
                <w:szCs w:val="21"/>
              </w:rPr>
              <w:t>30分</w:t>
            </w:r>
          </w:p>
        </w:tc>
        <w:tc>
          <w:tcPr>
            <w:tcW w:w="7633" w:type="dxa"/>
            <w:gridSpan w:val="3"/>
            <w:tcBorders>
              <w:top w:val="single" w:color="auto" w:sz="4" w:space="0"/>
              <w:bottom w:val="single" w:color="auto" w:sz="4" w:space="0"/>
            </w:tcBorders>
            <w:vAlign w:val="center"/>
          </w:tcPr>
          <w:p>
            <w:pPr>
              <w:rPr>
                <w:rFonts w:ascii="宋体" w:hAnsi="宋体"/>
                <w:szCs w:val="21"/>
              </w:rPr>
            </w:pPr>
            <w:r>
              <w:rPr>
                <w:rFonts w:hint="eastAsia" w:ascii="宋体" w:hAnsi="宋体"/>
                <w:szCs w:val="21"/>
              </w:rPr>
              <w:t>投标价得分计算公式示例：</w:t>
            </w:r>
          </w:p>
          <w:p>
            <w:pPr>
              <w:rPr>
                <w:rFonts w:ascii="宋体" w:hAnsi="宋体"/>
                <w:szCs w:val="21"/>
              </w:rPr>
            </w:pPr>
            <w:r>
              <w:rPr>
                <w:rFonts w:hint="eastAsia" w:ascii="宋体" w:hAnsi="宋体"/>
                <w:szCs w:val="21"/>
              </w:rPr>
              <w:t>（1）如果投标人的评标价＞评标基准价，则投标价得分=F-（投标人投标价-评标基准价）/评标基准价×100×E1；</w:t>
            </w:r>
          </w:p>
          <w:p>
            <w:pPr>
              <w:rPr>
                <w:rFonts w:ascii="宋体" w:hAnsi="宋体"/>
                <w:szCs w:val="21"/>
              </w:rPr>
            </w:pPr>
            <w:r>
              <w:rPr>
                <w:rFonts w:hint="eastAsia" w:ascii="宋体" w:hAnsi="宋体"/>
                <w:szCs w:val="21"/>
              </w:rPr>
              <w:t>（2）如果投标人的评标价≤评标基准价，则投标价得分=F+(投标人投标价-评标基准价)/评标基准价×100×E2。</w:t>
            </w:r>
          </w:p>
          <w:p>
            <w:pPr>
              <w:rPr>
                <w:rFonts w:ascii="宋体" w:hAnsi="宋体"/>
                <w:szCs w:val="21"/>
              </w:rPr>
            </w:pPr>
            <w:r>
              <w:rPr>
                <w:rFonts w:hint="eastAsia" w:ascii="宋体" w:hAnsi="宋体"/>
                <w:szCs w:val="21"/>
              </w:rPr>
              <w:t>其中，F=30；E1=0.3；E2=0.2；投标价最低得分为0分。</w:t>
            </w:r>
          </w:p>
          <w:p>
            <w:pPr>
              <w:rPr>
                <w:rFonts w:ascii="宋体" w:hAnsi="宋体"/>
                <w:szCs w:val="21"/>
              </w:rPr>
            </w:pPr>
            <w:r>
              <w:rPr>
                <w:rFonts w:hint="eastAsia" w:ascii="宋体" w:hAnsi="宋体" w:cs="宋体"/>
                <w:kern w:val="0"/>
                <w:szCs w:val="21"/>
              </w:rPr>
              <w:t>评标价得分</w:t>
            </w:r>
            <w:r>
              <w:rPr>
                <w:rFonts w:hint="eastAsia" w:ascii="宋体" w:hAnsi="宋体"/>
                <w:szCs w:val="21"/>
              </w:rPr>
              <w:t>保留小数点后两位，小数点后第三位四舍五入。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825955"/>
    <w:rsid w:val="004071F4"/>
    <w:rsid w:val="005954EF"/>
    <w:rsid w:val="00825955"/>
    <w:rsid w:val="00D60ADF"/>
    <w:rsid w:val="2111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b/>
      <w:sz w:val="32"/>
      <w:szCs w:val="20"/>
    </w:rPr>
  </w:style>
  <w:style w:type="paragraph" w:styleId="3">
    <w:name w:val="heading 3"/>
    <w:basedOn w:val="1"/>
    <w:next w:val="1"/>
    <w:link w:val="12"/>
    <w:qFormat/>
    <w:uiPriority w:val="0"/>
    <w:pPr>
      <w:keepNext/>
      <w:keepLines/>
      <w:spacing w:line="360" w:lineRule="auto"/>
      <w:outlineLvl w:val="2"/>
    </w:pPr>
    <w:rPr>
      <w:b/>
      <w:bCs/>
      <w:sz w:val="24"/>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4"/>
    <w:basedOn w:val="1"/>
    <w:next w:val="1"/>
    <w:qFormat/>
    <w:uiPriority w:val="0"/>
    <w:pPr>
      <w:ind w:left="630"/>
      <w:jc w:val="left"/>
    </w:pPr>
    <w:rPr>
      <w:sz w:val="18"/>
      <w:szCs w:val="18"/>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2 Char"/>
    <w:basedOn w:val="8"/>
    <w:link w:val="2"/>
    <w:qFormat/>
    <w:uiPriority w:val="0"/>
    <w:rPr>
      <w:rFonts w:ascii="Arial" w:hAnsi="Arial" w:eastAsia="黑体" w:cs="Times New Roman"/>
      <w:b/>
      <w:sz w:val="32"/>
      <w:szCs w:val="20"/>
    </w:rPr>
  </w:style>
  <w:style w:type="character" w:customStyle="1" w:styleId="12">
    <w:name w:val="标题 3 Char"/>
    <w:basedOn w:val="8"/>
    <w:link w:val="3"/>
    <w:qFormat/>
    <w:uiPriority w:val="0"/>
    <w:rPr>
      <w:rFonts w:ascii="Times New Roman" w:hAnsi="Times New Roman" w:eastAsia="宋体" w:cs="Times New Roman"/>
      <w:b/>
      <w:bCs/>
      <w:sz w:val="24"/>
      <w:szCs w:val="32"/>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4700</Words>
  <Characters>5105</Characters>
  <Lines>37</Lines>
  <Paragraphs>10</Paragraphs>
  <TotalTime>0</TotalTime>
  <ScaleCrop>false</ScaleCrop>
  <LinksUpToDate>false</LinksUpToDate>
  <CharactersWithSpaces>5113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2022-12-09T01:59:00Z</dcterms:created>
  <dc:creator>yuanhe</dc:creator>
  <cp:lastModifiedBy>丁燕</cp:lastModifiedBy>
  <dcterms:modified xsi:type="dcterms:W3CDTF">2022-12-09T02:44:55Z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C87DCA6A1C684A72BB838DC22F8F55F3</vt:lpwstr>
  </property>
</Properties>
</file>