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b/>
          <w:color w:val="000000"/>
          <w:kern w:val="28"/>
          <w:sz w:val="24"/>
          <w:szCs w:val="20"/>
          <w:highlight w:val="none"/>
        </w:rPr>
      </w:pPr>
      <w:bookmarkStart w:id="1" w:name="_GoBack"/>
      <w:bookmarkEnd w:id="1"/>
      <w:r>
        <w:rPr>
          <w:rFonts w:hint="eastAsia" w:ascii="宋体" w:hAnsi="宋体"/>
          <w:b/>
          <w:color w:val="000000"/>
          <w:kern w:val="28"/>
          <w:sz w:val="24"/>
          <w:szCs w:val="20"/>
          <w:highlight w:val="none"/>
        </w:rPr>
        <w:t>附件</w:t>
      </w:r>
      <w:r>
        <w:rPr>
          <w:rFonts w:ascii="宋体" w:hAnsi="宋体"/>
          <w:b/>
          <w:color w:val="000000"/>
          <w:kern w:val="28"/>
          <w:sz w:val="24"/>
          <w:szCs w:val="20"/>
          <w:highlight w:val="none"/>
        </w:rPr>
        <w:t xml:space="preserve">1： </w:t>
      </w:r>
      <w:r>
        <w:rPr>
          <w:rFonts w:hint="eastAsia" w:ascii="宋体" w:hAnsi="宋体"/>
          <w:b/>
          <w:color w:val="000000"/>
          <w:kern w:val="28"/>
          <w:sz w:val="24"/>
          <w:szCs w:val="20"/>
          <w:highlight w:val="none"/>
        </w:rPr>
        <w:t>资格审查条件</w:t>
      </w:r>
    </w:p>
    <w:p>
      <w:pPr>
        <w:adjustRightInd w:val="0"/>
        <w:spacing w:line="400" w:lineRule="exact"/>
        <w:jc w:val="center"/>
        <w:rPr>
          <w:rFonts w:ascii="宋体" w:hAnsi="宋体"/>
          <w:b/>
          <w:color w:val="000000"/>
          <w:kern w:val="28"/>
          <w:sz w:val="24"/>
          <w:szCs w:val="24"/>
          <w:highlight w:val="none"/>
        </w:rPr>
      </w:pPr>
    </w:p>
    <w:p>
      <w:pPr>
        <w:spacing w:line="360" w:lineRule="auto"/>
        <w:jc w:val="center"/>
        <w:rPr>
          <w:rStyle w:val="16"/>
          <w:rFonts w:ascii="宋体" w:hAnsi="宋体" w:eastAsia="宋体"/>
          <w:b/>
          <w:color w:val="000000"/>
          <w:highlight w:val="none"/>
        </w:rPr>
      </w:pPr>
      <w:r>
        <w:rPr>
          <w:rStyle w:val="16"/>
          <w:rFonts w:hint="eastAsia" w:ascii="宋体" w:hAnsi="宋体" w:eastAsia="宋体"/>
          <w:b/>
          <w:color w:val="000000"/>
          <w:highlight w:val="none"/>
        </w:rPr>
        <w:t>附录1  资格审查条件（资质最低条件）</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283" w:firstLineChars="135"/>
              <w:jc w:val="left"/>
              <w:rPr>
                <w:rFonts w:ascii="宋体" w:hAnsi="宋体"/>
                <w:color w:val="000000"/>
                <w:szCs w:val="21"/>
                <w:highlight w:val="none"/>
              </w:rPr>
            </w:pPr>
            <w:r>
              <w:rPr>
                <w:rFonts w:hint="eastAsia" w:ascii="宋体" w:hAnsi="宋体"/>
                <w:color w:val="000000"/>
                <w:szCs w:val="21"/>
                <w:highlight w:val="none"/>
              </w:rPr>
              <w:t>投标人须具有独立法人资格，持有有效的企业营业执照或事业单位法人证书。</w:t>
            </w:r>
          </w:p>
        </w:tc>
      </w:tr>
    </w:tbl>
    <w:p>
      <w:pPr>
        <w:jc w:val="center"/>
        <w:rPr>
          <w:rStyle w:val="17"/>
          <w:rFonts w:hint="eastAsia" w:ascii="宋体" w:hAnsi="宋体" w:eastAsia="宋体"/>
          <w:b/>
          <w:color w:val="000000"/>
          <w:highlight w:val="none"/>
        </w:rPr>
      </w:pPr>
    </w:p>
    <w:p>
      <w:pPr>
        <w:jc w:val="center"/>
        <w:rPr>
          <w:rStyle w:val="17"/>
          <w:rFonts w:ascii="宋体" w:hAnsi="宋体" w:eastAsia="宋体"/>
          <w:b/>
          <w:color w:val="000000"/>
          <w:sz w:val="18"/>
          <w:szCs w:val="18"/>
          <w:highlight w:val="none"/>
        </w:rPr>
      </w:pPr>
      <w:r>
        <w:rPr>
          <w:rStyle w:val="17"/>
          <w:rFonts w:hint="eastAsia" w:ascii="宋体" w:hAnsi="宋体" w:eastAsia="宋体"/>
          <w:b/>
          <w:color w:val="000000"/>
          <w:highlight w:val="none"/>
        </w:rPr>
        <w:t>附录</w:t>
      </w:r>
      <w:r>
        <w:rPr>
          <w:rStyle w:val="17"/>
          <w:rFonts w:ascii="宋体" w:hAnsi="宋体" w:eastAsia="宋体"/>
          <w:b/>
          <w:color w:val="000000"/>
          <w:highlight w:val="none"/>
        </w:rPr>
        <w:t xml:space="preserve">2 </w:t>
      </w:r>
      <w:r>
        <w:rPr>
          <w:rStyle w:val="17"/>
          <w:rFonts w:hint="eastAsia" w:ascii="宋体" w:hAnsi="宋体" w:eastAsia="宋体"/>
          <w:b/>
          <w:color w:val="000000"/>
          <w:highlight w:val="none"/>
        </w:rPr>
        <w:t xml:space="preserve"> 资格审查条件（</w:t>
      </w:r>
      <w:r>
        <w:rPr>
          <w:rFonts w:hint="eastAsia" w:ascii="宋体" w:hAnsi="宋体"/>
          <w:b/>
          <w:color w:val="000000"/>
          <w:sz w:val="24"/>
          <w:highlight w:val="none"/>
        </w:rPr>
        <w:t>业绩最低条件</w:t>
      </w:r>
      <w:r>
        <w:rPr>
          <w:rStyle w:val="17"/>
          <w:rFonts w:hint="eastAsia" w:ascii="宋体" w:hAnsi="宋体" w:eastAsia="宋体"/>
          <w:b/>
          <w:color w:val="000000"/>
          <w:highlight w:val="none"/>
        </w:rPr>
        <w:t>）</w:t>
      </w:r>
    </w:p>
    <w:p>
      <w:pPr>
        <w:rPr>
          <w:rFonts w:ascii="宋体" w:hAnsi="宋体"/>
          <w:b/>
          <w:color w:val="000000"/>
          <w:sz w:val="18"/>
          <w:szCs w:val="18"/>
          <w:highlight w:val="none"/>
        </w:rPr>
      </w:pP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snapToGrid w:val="0"/>
              <w:ind w:firstLine="420" w:firstLineChars="200"/>
              <w:jc w:val="left"/>
              <w:rPr>
                <w:color w:val="000000"/>
                <w:highlight w:val="none"/>
              </w:rPr>
            </w:pPr>
            <w:r>
              <w:rPr>
                <w:rFonts w:hint="eastAsia" w:ascii="宋体" w:hAnsi="宋体" w:cs="宋体"/>
                <w:color w:val="000000"/>
                <w:szCs w:val="21"/>
                <w:highlight w:val="none"/>
              </w:rPr>
              <w:t>近5年内(2017年11月1日至今，以通过成果验收或鉴定时间或登记时间为准)投标人至少完成过1项交通类科研项目的研究，且须为通过省级及以上主管部门验收（或鉴定）或在省级及以上科技主管部门完成成果登记的科研项目。</w:t>
            </w:r>
          </w:p>
        </w:tc>
      </w:tr>
    </w:tbl>
    <w:p>
      <w:pPr>
        <w:jc w:val="center"/>
        <w:rPr>
          <w:rFonts w:ascii="宋体" w:hAnsi="宋体"/>
          <w:b/>
          <w:color w:val="000000"/>
          <w:sz w:val="24"/>
          <w:highlight w:val="none"/>
        </w:rPr>
      </w:pPr>
    </w:p>
    <w:p>
      <w:pPr>
        <w:spacing w:line="360" w:lineRule="auto"/>
        <w:jc w:val="center"/>
        <w:rPr>
          <w:rFonts w:hint="eastAsia" w:ascii="宋体" w:hAnsi="宋体"/>
          <w:b/>
          <w:color w:val="000000"/>
          <w:sz w:val="24"/>
          <w:highlight w:val="none"/>
        </w:rPr>
      </w:pPr>
    </w:p>
    <w:p>
      <w:pPr>
        <w:spacing w:line="360" w:lineRule="auto"/>
        <w:jc w:val="center"/>
        <w:rPr>
          <w:rFonts w:ascii="宋体" w:hAnsi="宋体"/>
          <w:b/>
          <w:color w:val="000000"/>
          <w:sz w:val="24"/>
          <w:highlight w:val="none"/>
        </w:rPr>
      </w:pPr>
      <w:r>
        <w:rPr>
          <w:rFonts w:hint="eastAsia" w:ascii="宋体" w:hAnsi="宋体"/>
          <w:b/>
          <w:color w:val="000000"/>
          <w:sz w:val="24"/>
          <w:highlight w:val="none"/>
        </w:rPr>
        <w:t>附录3  资格审查条件（信誉最低条件）</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240" w:lineRule="auto"/>
              <w:ind w:firstLine="420" w:firstLineChars="200"/>
              <w:jc w:val="left"/>
              <w:rPr>
                <w:rFonts w:ascii="宋体" w:hAnsi="宋体"/>
                <w:color w:val="000000"/>
                <w:szCs w:val="21"/>
                <w:highlight w:val="none"/>
              </w:rPr>
            </w:pPr>
            <w:r>
              <w:rPr>
                <w:rFonts w:hint="eastAsia" w:ascii="宋体" w:hAnsi="宋体" w:cs="宋体"/>
                <w:color w:val="000000"/>
                <w:highlight w:val="none"/>
              </w:rPr>
              <w:t>投标人过去1年(2021年11月1日至今)不曾在科研项目合同中违约而被驱逐或因投标人自身的原因而使科研项目合同被解除</w:t>
            </w:r>
            <w:r>
              <w:rPr>
                <w:rFonts w:hint="eastAsia" w:ascii="宋体" w:hAnsi="宋体"/>
                <w:color w:val="000000"/>
                <w:szCs w:val="21"/>
                <w:highlight w:val="none"/>
              </w:rPr>
              <w:t>。</w:t>
            </w:r>
          </w:p>
        </w:tc>
      </w:tr>
    </w:tbl>
    <w:p>
      <w:pPr>
        <w:tabs>
          <w:tab w:val="left" w:pos="3300"/>
        </w:tabs>
        <w:spacing w:line="360" w:lineRule="auto"/>
        <w:rPr>
          <w:rFonts w:ascii="宋体" w:hAnsi="宋体"/>
          <w:b/>
          <w:color w:val="000000"/>
          <w:sz w:val="24"/>
          <w:highlight w:val="none"/>
        </w:rPr>
      </w:pPr>
    </w:p>
    <w:p>
      <w:pPr>
        <w:spacing w:line="360" w:lineRule="auto"/>
        <w:rPr>
          <w:rFonts w:ascii="宋体" w:hAnsi="宋体"/>
          <w:b/>
          <w:color w:val="000000"/>
          <w:sz w:val="24"/>
          <w:highlight w:val="none"/>
        </w:rPr>
      </w:pPr>
    </w:p>
    <w:p>
      <w:pPr>
        <w:spacing w:line="360" w:lineRule="auto"/>
        <w:jc w:val="center"/>
        <w:rPr>
          <w:rFonts w:ascii="宋体" w:hAnsi="宋体"/>
          <w:b/>
          <w:color w:val="000000"/>
          <w:sz w:val="24"/>
          <w:highlight w:val="none"/>
        </w:rPr>
      </w:pPr>
      <w:r>
        <w:rPr>
          <w:rFonts w:hint="eastAsia" w:ascii="宋体" w:hAnsi="宋体"/>
          <w:b/>
          <w:color w:val="000000"/>
          <w:sz w:val="24"/>
          <w:highlight w:val="none"/>
        </w:rPr>
        <w:t>附录4  资格审查条件（主要人员最低要求）</w:t>
      </w:r>
    </w:p>
    <w:tbl>
      <w:tblPr>
        <w:tblStyle w:val="11"/>
        <w:tblpPr w:leftFromText="180" w:rightFromText="180" w:vertAnchor="text" w:horzAnchor="margin" w:tblpXSpec="center" w:tblpY="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802"/>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人员</w:t>
            </w:r>
          </w:p>
        </w:tc>
        <w:tc>
          <w:tcPr>
            <w:tcW w:w="802"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数量</w:t>
            </w:r>
          </w:p>
        </w:tc>
        <w:tc>
          <w:tcPr>
            <w:tcW w:w="6555"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033" w:type="dxa"/>
            <w:noWrap w:val="0"/>
            <w:vAlign w:val="center"/>
          </w:tcPr>
          <w:p>
            <w:pPr>
              <w:snapToGrid w:val="0"/>
              <w:jc w:val="center"/>
              <w:rPr>
                <w:rFonts w:hint="eastAsia" w:ascii="宋体" w:hAnsi="宋体" w:cs="宋体"/>
                <w:bCs/>
                <w:color w:val="000000"/>
                <w:szCs w:val="21"/>
                <w:highlight w:val="none"/>
              </w:rPr>
            </w:pPr>
            <w:r>
              <w:rPr>
                <w:rFonts w:hint="eastAsia" w:ascii="宋体" w:hAnsi="宋体" w:cs="宋体"/>
                <w:bCs/>
                <w:color w:val="000000"/>
                <w:szCs w:val="21"/>
                <w:highlight w:val="none"/>
              </w:rPr>
              <w:t>项目负责人</w:t>
            </w:r>
          </w:p>
        </w:tc>
        <w:tc>
          <w:tcPr>
            <w:tcW w:w="802" w:type="dxa"/>
            <w:noWrap w:val="0"/>
            <w:vAlign w:val="center"/>
          </w:tcPr>
          <w:p>
            <w:pPr>
              <w:snapToGrid w:val="0"/>
              <w:jc w:val="center"/>
              <w:rPr>
                <w:rFonts w:hint="eastAsia" w:ascii="宋体" w:hAnsi="宋体" w:cs="宋体"/>
                <w:bCs/>
                <w:color w:val="000000"/>
                <w:szCs w:val="21"/>
                <w:highlight w:val="none"/>
              </w:rPr>
            </w:pPr>
            <w:r>
              <w:rPr>
                <w:rFonts w:hint="eastAsia" w:ascii="宋体" w:hAnsi="宋体" w:cs="宋体"/>
                <w:bCs/>
                <w:color w:val="000000"/>
                <w:szCs w:val="21"/>
                <w:highlight w:val="none"/>
              </w:rPr>
              <w:t>1人</w:t>
            </w:r>
          </w:p>
        </w:tc>
        <w:tc>
          <w:tcPr>
            <w:tcW w:w="6555" w:type="dxa"/>
            <w:noWrap w:val="0"/>
            <w:vAlign w:val="center"/>
          </w:tcPr>
          <w:p>
            <w:pPr>
              <w:widowControl/>
              <w:jc w:val="left"/>
              <w:rPr>
                <w:rFonts w:ascii="宋体" w:hAnsi="宋体" w:cs="宋体"/>
                <w:bCs/>
                <w:color w:val="000000"/>
                <w:szCs w:val="21"/>
                <w:highlight w:val="none"/>
              </w:rPr>
            </w:pPr>
            <w:r>
              <w:rPr>
                <w:rFonts w:hint="eastAsia" w:ascii="宋体" w:hAnsi="宋体" w:cs="宋体"/>
                <w:color w:val="000000"/>
                <w:kern w:val="0"/>
                <w:szCs w:val="21"/>
                <w:highlight w:val="none"/>
                <w:lang w:bidi="ar"/>
              </w:rPr>
              <w:t>具备高级职称或硕士及以上学位，计算机或交通相关专业。</w:t>
            </w:r>
          </w:p>
        </w:tc>
      </w:tr>
    </w:tbl>
    <w:p>
      <w:pPr>
        <w:adjustRightInd w:val="0"/>
        <w:snapToGrid w:val="0"/>
        <w:spacing w:before="120" w:beforeLines="50" w:line="300" w:lineRule="auto"/>
        <w:rPr>
          <w:rFonts w:ascii="宋体" w:hAnsi="宋体"/>
          <w:b/>
          <w:color w:val="000000"/>
          <w:kern w:val="28"/>
          <w:sz w:val="24"/>
          <w:szCs w:val="20"/>
          <w:highlight w:val="none"/>
        </w:rPr>
      </w:pPr>
    </w:p>
    <w:p>
      <w:pPr>
        <w:spacing w:line="360" w:lineRule="auto"/>
        <w:jc w:val="left"/>
        <w:rPr>
          <w:rFonts w:ascii="宋体" w:hAnsi="宋体"/>
          <w:b/>
          <w:color w:val="000000"/>
          <w:sz w:val="24"/>
          <w:highlight w:val="none"/>
        </w:rPr>
      </w:pPr>
      <w:r>
        <w:rPr>
          <w:rFonts w:hint="eastAsia" w:ascii="宋体" w:hAnsi="宋体"/>
          <w:b/>
          <w:color w:val="000000"/>
          <w:kern w:val="28"/>
          <w:sz w:val="24"/>
          <w:szCs w:val="24"/>
          <w:highlight w:val="none"/>
        </w:rPr>
        <w:br w:type="page"/>
      </w:r>
      <w:r>
        <w:rPr>
          <w:rFonts w:hint="eastAsia" w:ascii="宋体" w:hAnsi="宋体"/>
          <w:b/>
          <w:color w:val="000000"/>
          <w:kern w:val="28"/>
          <w:sz w:val="24"/>
          <w:szCs w:val="24"/>
          <w:highlight w:val="none"/>
        </w:rPr>
        <w:t>附件2</w:t>
      </w:r>
      <w:r>
        <w:rPr>
          <w:rFonts w:ascii="宋体" w:hAnsi="宋体"/>
          <w:b/>
          <w:color w:val="000000"/>
          <w:kern w:val="28"/>
          <w:sz w:val="24"/>
          <w:szCs w:val="24"/>
          <w:highlight w:val="none"/>
        </w:rPr>
        <w:t>：</w:t>
      </w:r>
      <w:bookmarkStart w:id="0" w:name="_Hlk98099424"/>
      <w:r>
        <w:rPr>
          <w:rFonts w:hint="eastAsia" w:ascii="宋体" w:hAnsi="宋体"/>
          <w:b/>
          <w:color w:val="000000"/>
          <w:sz w:val="24"/>
          <w:highlight w:val="none"/>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2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7197" w:type="dxa"/>
            <w:noWrap w:val="0"/>
            <w:vAlign w:val="center"/>
          </w:tcPr>
          <w:p>
            <w:pPr>
              <w:adjustRightInd w:val="0"/>
              <w:snapToGrid w:val="0"/>
              <w:spacing w:line="32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snapToGrid w:val="0"/>
              <w:spacing w:line="32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rPr>
              <w:t>1</w:t>
            </w:r>
          </w:p>
        </w:tc>
        <w:tc>
          <w:tcPr>
            <w:tcW w:w="1317" w:type="dxa"/>
            <w:noWrap w:val="0"/>
            <w:vAlign w:val="center"/>
          </w:tcPr>
          <w:p>
            <w:pPr>
              <w:snapToGrid w:val="0"/>
              <w:spacing w:line="320" w:lineRule="exact"/>
              <w:jc w:val="center"/>
              <w:rPr>
                <w:rFonts w:hint="eastAsia" w:ascii="宋体" w:hAnsi="宋体" w:cs="宋体"/>
                <w:b/>
                <w:color w:val="000000"/>
                <w:szCs w:val="21"/>
                <w:highlight w:val="none"/>
              </w:rPr>
            </w:pPr>
            <w:r>
              <w:rPr>
                <w:rFonts w:hint="eastAsia" w:ascii="宋体" w:hAnsi="宋体" w:cs="宋体"/>
                <w:color w:val="000000"/>
                <w:szCs w:val="21"/>
                <w:highlight w:val="none"/>
              </w:rPr>
              <w:t>评标办法</w:t>
            </w:r>
          </w:p>
        </w:tc>
        <w:tc>
          <w:tcPr>
            <w:tcW w:w="7197" w:type="dxa"/>
            <w:noWrap w:val="0"/>
            <w:vAlign w:val="center"/>
          </w:tcPr>
          <w:p>
            <w:pPr>
              <w:snapToGrid w:val="0"/>
              <w:spacing w:line="320" w:lineRule="exact"/>
              <w:ind w:firstLine="420" w:firstLineChars="200"/>
              <w:jc w:val="left"/>
              <w:textAlignment w:val="baseline"/>
              <w:rPr>
                <w:rFonts w:hint="eastAsia" w:ascii="宋体" w:hAnsi="宋体" w:cs="宋体"/>
                <w:color w:val="000000"/>
                <w:szCs w:val="21"/>
                <w:highlight w:val="none"/>
              </w:rPr>
            </w:pPr>
            <w:r>
              <w:rPr>
                <w:rFonts w:hint="eastAsia" w:ascii="宋体" w:hAnsi="宋体" w:cs="宋体"/>
                <w:color w:val="000000"/>
                <w:szCs w:val="21"/>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（1）评标价低的投标人优先；</w:t>
            </w:r>
          </w:p>
          <w:p>
            <w:pPr>
              <w:adjustRightInd w:val="0"/>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（2）技术建议书得分较高的投标人优先；</w:t>
            </w:r>
          </w:p>
          <w:p>
            <w:pPr>
              <w:adjustRightInd w:val="0"/>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（3）投标人近5年内满足资格审查条件(业绩最低条件)要求的业绩累计金额高的优先。</w:t>
            </w:r>
          </w:p>
          <w:p>
            <w:pPr>
              <w:pStyle w:val="7"/>
              <w:snapToGrid w:val="0"/>
              <w:spacing w:line="320" w:lineRule="exact"/>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2.1.1</w:t>
            </w:r>
          </w:p>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2.1.3</w:t>
            </w:r>
          </w:p>
        </w:tc>
        <w:tc>
          <w:tcPr>
            <w:tcW w:w="1317"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形式评审与响应性评审标准</w:t>
            </w:r>
          </w:p>
        </w:tc>
        <w:tc>
          <w:tcPr>
            <w:tcW w:w="7197" w:type="dxa"/>
            <w:noWrap w:val="0"/>
            <w:vAlign w:val="top"/>
          </w:tcPr>
          <w:p>
            <w:pPr>
              <w:tabs>
                <w:tab w:val="left" w:pos="3060"/>
              </w:tabs>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第一个信封（商务及技术文件）评审标准:</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（1）投标文件按照招标文件规定的格式、内容填写，字迹清晰可辨：</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a.投标函按招标文件规定填报了项目名称、补遗书编号（如有）、研究期限及项目负责人信息；</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b.投标文件组成齐全完整，内容均按规定填写。</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（2）投标文件上法定代表人或其委托代理人的签字、投标人的单位章盖章齐全，符合招标文件规定。</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（3）投标人按照招标文件的规定提供了投标保证金：</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a.投标保证金金额符合招标文件规定的金额，且投标保证金有效期不少于投标有效期；</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b.若投标保证金采用电汇或转账形式提交，投标人应在递交投标文件截止时间之前，将投标保证金由投标人的基本账户转入招标人指定账户；</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c.若投标保证金采用银行保函形式提交，银行保函的格式、开具保函的银行均满足招标文件要求，且在递交投标文件截止时间之前向招标人提交了银行保函原件。</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（6）投标人未以联合体形式投标。</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（7）投标人未对本项目提出分包计划。</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（8）同一投标人未对同一标段提交两个以上不同的投标文件。</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（9）投标文件中未出现有关投标报价的内容。</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（10）投标文件载明的招标项目完成期限未超过招标文件规定的时限。</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（11）投标文件对招标文件的实质性要求和条件作出响应。</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（12）权利义务符合招标文件规定：</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a.投标人应接受招标文件规定的风险划分原则，未提出新的风险划分办法；</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b.投标人未增加发包人的责任范围，或减少投标人义务；</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c.投标人未提出不同的支付办法；</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d.投标人对合同纠纷、事故处理办法未提出异议；</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e.投标人在投标活动中无欺诈行为；</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f.投标人未对合同条款有重要保留。</w:t>
            </w:r>
          </w:p>
          <w:p>
            <w:pPr>
              <w:tabs>
                <w:tab w:val="left" w:pos="3060"/>
              </w:tabs>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第二个信封（报价文件）评审标准：</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（1）投标文件按照招标文件规定的格式、内容填写，字迹清晰可辨：</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a.投标函按招标文件规定填报了项目名称、补遗书编号（如有）、投标价（包括大写金额和小写金额）；</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b.已标价报价清单说明文字与招标文件规定一致，未对实质性内容进行修改和删减；</w:t>
            </w:r>
          </w:p>
          <w:p>
            <w:pPr>
              <w:pStyle w:val="7"/>
              <w:snapToGrid w:val="0"/>
              <w:spacing w:line="320" w:lineRule="exact"/>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c．投标文件组成齐全完整，内容均按规定填写。</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（2）投标文件上法定代表人或其委托代理人的签字、投标人的单位章盖章齐全，符合招标文件规定。</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（3）投标报价中的报价未超过招标文件设定的最高投标限价。</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（4）投标报价中报价的大写金额能够确定具体数值。</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（5）同一投标人未对同一标段提交两个以上不同的投标报价。</w:t>
            </w:r>
          </w:p>
          <w:p>
            <w:pPr>
              <w:pStyle w:val="7"/>
              <w:snapToGrid w:val="0"/>
              <w:spacing w:line="320" w:lineRule="exact"/>
              <w:ind w:firstLine="210" w:firstLineChars="1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（6）报价清单中的投标报价与投标函大写金额一致。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2.1.2</w:t>
            </w:r>
          </w:p>
        </w:tc>
        <w:tc>
          <w:tcPr>
            <w:tcW w:w="1317"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资格评审标准</w:t>
            </w:r>
          </w:p>
        </w:tc>
        <w:tc>
          <w:tcPr>
            <w:tcW w:w="7197" w:type="dxa"/>
            <w:noWrap w:val="0"/>
            <w:vAlign w:val="top"/>
          </w:tcPr>
          <w:p>
            <w:pPr>
              <w:tabs>
                <w:tab w:val="left" w:pos="3060"/>
              </w:tabs>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（1）投标人具备有效的营业执照或事业单位法人证书、组织机构代码证（三证合一或五证合一的除外）和基本账户开户许可证（或基本存款账户信息）；</w:t>
            </w:r>
          </w:p>
          <w:p>
            <w:pPr>
              <w:pStyle w:val="7"/>
              <w:snapToGrid w:val="0"/>
              <w:spacing w:line="32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（2）投标人的业绩符合招标文件规定；</w:t>
            </w:r>
          </w:p>
          <w:p>
            <w:pPr>
              <w:tabs>
                <w:tab w:val="left" w:pos="3060"/>
              </w:tabs>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（3）投标人的信誉符合招标文件规定；</w:t>
            </w:r>
          </w:p>
          <w:p>
            <w:pPr>
              <w:tabs>
                <w:tab w:val="left" w:pos="3060"/>
              </w:tabs>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（4）投标人的主要人员资格符合招标文件规定； </w:t>
            </w:r>
          </w:p>
          <w:p>
            <w:pPr>
              <w:tabs>
                <w:tab w:val="left" w:pos="3060"/>
              </w:tabs>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（5）投标人不存在第二章“投标人须知”第1.4.3项和1.4.4项规定的任何一种情形。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2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1317" w:type="dxa"/>
            <w:noWrap w:val="0"/>
            <w:vAlign w:val="center"/>
          </w:tcPr>
          <w:p>
            <w:pPr>
              <w:adjustRightInd w:val="0"/>
              <w:snapToGrid w:val="0"/>
              <w:spacing w:line="32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rPr>
              <w:t>条款内容</w:t>
            </w:r>
          </w:p>
        </w:tc>
        <w:tc>
          <w:tcPr>
            <w:tcW w:w="7197" w:type="dxa"/>
            <w:noWrap w:val="0"/>
            <w:vAlign w:val="center"/>
          </w:tcPr>
          <w:p>
            <w:pPr>
              <w:adjustRightInd w:val="0"/>
              <w:snapToGrid w:val="0"/>
              <w:spacing w:line="32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2.2.1</w:t>
            </w:r>
          </w:p>
        </w:tc>
        <w:tc>
          <w:tcPr>
            <w:tcW w:w="1317"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分值构成（总分100分）</w:t>
            </w:r>
          </w:p>
        </w:tc>
        <w:tc>
          <w:tcPr>
            <w:tcW w:w="7197" w:type="dxa"/>
            <w:noWrap w:val="0"/>
            <w:vAlign w:val="center"/>
          </w:tcPr>
          <w:p>
            <w:pPr>
              <w:adjustRightInd w:val="0"/>
              <w:snapToGrid w:val="0"/>
              <w:spacing w:line="320" w:lineRule="exact"/>
              <w:rPr>
                <w:rFonts w:hint="eastAsia" w:ascii="宋体" w:hAnsi="宋体" w:cs="宋体"/>
                <w:b/>
                <w:color w:val="000000"/>
                <w:szCs w:val="21"/>
                <w:highlight w:val="none"/>
              </w:rPr>
            </w:pPr>
            <w:r>
              <w:rPr>
                <w:rFonts w:hint="eastAsia" w:ascii="宋体" w:hAnsi="宋体" w:cs="宋体"/>
                <w:b/>
                <w:color w:val="000000"/>
                <w:szCs w:val="21"/>
                <w:highlight w:val="none"/>
              </w:rPr>
              <w:t>第一个信封（商务及技术文件）评分分值构成：</w:t>
            </w:r>
          </w:p>
          <w:p>
            <w:pPr>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技术建议书：50分</w:t>
            </w:r>
          </w:p>
          <w:p>
            <w:pPr>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主要人员：20分</w:t>
            </w:r>
          </w:p>
          <w:p>
            <w:pPr>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其    它：20分</w:t>
            </w:r>
          </w:p>
          <w:p>
            <w:pPr>
              <w:adjustRightInd w:val="0"/>
              <w:snapToGrid w:val="0"/>
              <w:spacing w:line="320" w:lineRule="exact"/>
              <w:rPr>
                <w:rFonts w:hint="eastAsia" w:ascii="宋体" w:hAnsi="宋体" w:cs="宋体"/>
                <w:color w:val="000000"/>
                <w:szCs w:val="21"/>
                <w:highlight w:val="none"/>
              </w:rPr>
            </w:pPr>
          </w:p>
          <w:p>
            <w:pPr>
              <w:adjustRightInd w:val="0"/>
              <w:snapToGrid w:val="0"/>
              <w:spacing w:line="320" w:lineRule="exact"/>
              <w:rPr>
                <w:rFonts w:hint="eastAsia" w:ascii="宋体" w:hAnsi="宋体" w:cs="宋体"/>
                <w:b/>
                <w:color w:val="000000"/>
                <w:szCs w:val="21"/>
                <w:highlight w:val="none"/>
              </w:rPr>
            </w:pPr>
            <w:r>
              <w:rPr>
                <w:rFonts w:hint="eastAsia" w:ascii="宋体" w:hAnsi="宋体" w:cs="宋体"/>
                <w:b/>
                <w:color w:val="000000"/>
                <w:szCs w:val="21"/>
                <w:highlight w:val="none"/>
              </w:rPr>
              <w:t>第二个信封（报价文件）评分分值构成：</w:t>
            </w:r>
          </w:p>
          <w:p>
            <w:pPr>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2.2.2</w:t>
            </w:r>
          </w:p>
        </w:tc>
        <w:tc>
          <w:tcPr>
            <w:tcW w:w="1317"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评标基准价计算方法</w:t>
            </w:r>
          </w:p>
        </w:tc>
        <w:tc>
          <w:tcPr>
            <w:tcW w:w="7197" w:type="dxa"/>
            <w:noWrap w:val="0"/>
            <w:vAlign w:val="center"/>
          </w:tcPr>
          <w:p>
            <w:pPr>
              <w:pStyle w:val="2"/>
              <w:snapToGrid w:val="0"/>
              <w:spacing w:line="320" w:lineRule="exact"/>
              <w:ind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评标基准价的计算：</w:t>
            </w:r>
          </w:p>
          <w:p>
            <w:pPr>
              <w:pStyle w:val="2"/>
              <w:snapToGrid w:val="0"/>
              <w:spacing w:line="320" w:lineRule="exact"/>
              <w:ind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开标现场，招标人将当场计算并宣布评标基准价。</w:t>
            </w:r>
          </w:p>
          <w:p>
            <w:pPr>
              <w:pStyle w:val="2"/>
              <w:snapToGrid w:val="0"/>
              <w:spacing w:line="32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1、评标价的确定：</w:t>
            </w:r>
          </w:p>
          <w:p>
            <w:pPr>
              <w:pStyle w:val="2"/>
              <w:snapToGrid w:val="0"/>
              <w:spacing w:line="32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评标价=投标函文字报价</w:t>
            </w:r>
          </w:p>
          <w:p>
            <w:pPr>
              <w:pStyle w:val="2"/>
              <w:snapToGrid w:val="0"/>
              <w:spacing w:line="32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2、评标价平均值的计算：</w:t>
            </w:r>
          </w:p>
          <w:p>
            <w:pPr>
              <w:pStyle w:val="2"/>
              <w:snapToGrid w:val="0"/>
              <w:spacing w:line="32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2"/>
              <w:snapToGrid w:val="0"/>
              <w:spacing w:line="32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3、评标基准价的确定： </w:t>
            </w:r>
          </w:p>
          <w:p>
            <w:pPr>
              <w:pStyle w:val="2"/>
              <w:snapToGrid w:val="0"/>
              <w:spacing w:line="32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评标价平均值直接作为评标基准价。 </w:t>
            </w:r>
          </w:p>
          <w:p>
            <w:pPr>
              <w:pStyle w:val="2"/>
              <w:snapToGrid w:val="0"/>
              <w:spacing w:line="32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评标基准价保留小数点后两位，小数点后第三位四舍五入。</w:t>
            </w:r>
          </w:p>
          <w:p>
            <w:pPr>
              <w:adjustRightInd w:val="0"/>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2.2.3</w:t>
            </w:r>
          </w:p>
        </w:tc>
        <w:tc>
          <w:tcPr>
            <w:tcW w:w="1317"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评标价的偏差率计算公式</w:t>
            </w:r>
          </w:p>
        </w:tc>
        <w:tc>
          <w:tcPr>
            <w:tcW w:w="7197" w:type="dxa"/>
            <w:noWrap w:val="0"/>
            <w:vAlign w:val="center"/>
          </w:tcPr>
          <w:p>
            <w:pPr>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3.6.1</w:t>
            </w:r>
          </w:p>
        </w:tc>
        <w:tc>
          <w:tcPr>
            <w:tcW w:w="1317" w:type="dxa"/>
            <w:noWrap w:val="0"/>
            <w:vAlign w:val="center"/>
          </w:tcPr>
          <w:p>
            <w:pPr>
              <w:adjustRightInd w:val="0"/>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信息查询</w:t>
            </w:r>
          </w:p>
        </w:tc>
        <w:tc>
          <w:tcPr>
            <w:tcW w:w="7197" w:type="dxa"/>
            <w:noWrap w:val="0"/>
            <w:vAlign w:val="center"/>
          </w:tcPr>
          <w:p>
            <w:pPr>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在评标过程中，评标委员会应对以下信息进行查询：</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均不含分公司）情形的，评标委员会应否决其投标。</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若投标人未提供相关网页截图或所附截图与核查结果不一致，评标委员会应否决其投标。</w:t>
            </w:r>
          </w:p>
        </w:tc>
      </w:tr>
    </w:tbl>
    <w:p>
      <w:pPr>
        <w:snapToGrid w:val="0"/>
        <w:spacing w:line="360" w:lineRule="auto"/>
        <w:jc w:val="left"/>
        <w:rPr>
          <w:rFonts w:hint="eastAsia"/>
          <w:color w:val="000000"/>
          <w:highlight w:val="none"/>
        </w:rPr>
      </w:pPr>
    </w:p>
    <w:p>
      <w:pPr>
        <w:snapToGrid w:val="0"/>
        <w:spacing w:line="360" w:lineRule="auto"/>
        <w:jc w:val="left"/>
        <w:rPr>
          <w:rFonts w:hint="eastAsia"/>
          <w:color w:val="000000"/>
          <w:highlight w:val="none"/>
        </w:rPr>
      </w:pPr>
      <w:r>
        <w:rPr>
          <w:color w:val="000000"/>
          <w:highlight w:val="none"/>
        </w:rPr>
        <w:br w:type="page"/>
      </w:r>
    </w:p>
    <w:tbl>
      <w:tblPr>
        <w:tblStyle w:val="11"/>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1340"/>
        <w:gridCol w:w="782"/>
        <w:gridCol w:w="56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pPr>
              <w:autoSpaceDE w:val="0"/>
              <w:autoSpaceDN w:val="0"/>
              <w:snapToGrid w:val="0"/>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条款号</w:t>
            </w:r>
          </w:p>
        </w:tc>
        <w:tc>
          <w:tcPr>
            <w:tcW w:w="602" w:type="dxa"/>
            <w:noWrap w:val="0"/>
            <w:vAlign w:val="center"/>
          </w:tcPr>
          <w:p>
            <w:pPr>
              <w:autoSpaceDE w:val="0"/>
              <w:autoSpaceDN w:val="0"/>
              <w:snapToGrid w:val="0"/>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评审因素</w:t>
            </w:r>
          </w:p>
        </w:tc>
        <w:tc>
          <w:tcPr>
            <w:tcW w:w="567" w:type="dxa"/>
            <w:noWrap w:val="0"/>
            <w:vAlign w:val="center"/>
          </w:tcPr>
          <w:p>
            <w:pPr>
              <w:autoSpaceDE w:val="0"/>
              <w:autoSpaceDN w:val="0"/>
              <w:snapToGrid w:val="0"/>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评分因素权重分值</w:t>
            </w:r>
          </w:p>
        </w:tc>
        <w:tc>
          <w:tcPr>
            <w:tcW w:w="1340" w:type="dxa"/>
            <w:tcBorders>
              <w:right w:val="single" w:color="auto" w:sz="4" w:space="0"/>
            </w:tcBorders>
            <w:noWrap w:val="0"/>
            <w:vAlign w:val="center"/>
          </w:tcPr>
          <w:p>
            <w:pPr>
              <w:autoSpaceDE w:val="0"/>
              <w:autoSpaceDN w:val="0"/>
              <w:snapToGrid w:val="0"/>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各评分因素细分项</w:t>
            </w:r>
          </w:p>
        </w:tc>
        <w:tc>
          <w:tcPr>
            <w:tcW w:w="782" w:type="dxa"/>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b/>
                <w:color w:val="000000"/>
                <w:kern w:val="0"/>
                <w:szCs w:val="21"/>
                <w:highlight w:val="none"/>
              </w:rPr>
            </w:pPr>
            <w:r>
              <w:rPr>
                <w:rFonts w:ascii="宋体" w:hAnsi="宋体" w:cs="宋体"/>
                <w:b/>
                <w:color w:val="000000"/>
                <w:kern w:val="0"/>
                <w:szCs w:val="21"/>
                <w:highlight w:val="none"/>
              </w:rPr>
              <w:t>分值</w:t>
            </w:r>
          </w:p>
        </w:tc>
        <w:tc>
          <w:tcPr>
            <w:tcW w:w="5653" w:type="dxa"/>
            <w:tcBorders>
              <w:left w:val="single" w:color="auto" w:sz="4" w:space="0"/>
            </w:tcBorders>
            <w:noWrap w:val="0"/>
            <w:vAlign w:val="center"/>
          </w:tcPr>
          <w:p>
            <w:pPr>
              <w:autoSpaceDE w:val="0"/>
              <w:autoSpaceDN w:val="0"/>
              <w:snapToGrid w:val="0"/>
              <w:spacing w:line="320" w:lineRule="exact"/>
              <w:jc w:val="center"/>
              <w:rPr>
                <w:rFonts w:ascii="宋体" w:hAnsi="宋体" w:cs="宋体"/>
                <w:b/>
                <w:color w:val="000000"/>
                <w:kern w:val="0"/>
                <w:szCs w:val="21"/>
                <w:highlight w:val="none"/>
              </w:rPr>
            </w:pPr>
            <w:r>
              <w:rPr>
                <w:rFonts w:ascii="宋体" w:hAnsi="宋体" w:cs="宋体"/>
                <w:b/>
                <w:color w:val="000000"/>
                <w:kern w:val="0"/>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trPr>
        <w:tc>
          <w:tcPr>
            <w:tcW w:w="539" w:type="dxa"/>
            <w:vMerge w:val="restart"/>
            <w:noWrap w:val="0"/>
            <w:vAlign w:val="center"/>
          </w:tcPr>
          <w:p>
            <w:pPr>
              <w:autoSpaceDE w:val="0"/>
              <w:autoSpaceDN w:val="0"/>
              <w:snapToGrid w:val="0"/>
              <w:spacing w:line="320" w:lineRule="exact"/>
              <w:rPr>
                <w:rFonts w:ascii="宋体" w:hAnsi="宋体" w:cs="宋体"/>
                <w:color w:val="000000"/>
                <w:kern w:val="0"/>
                <w:szCs w:val="21"/>
                <w:highlight w:val="none"/>
              </w:rPr>
            </w:pPr>
            <w:r>
              <w:rPr>
                <w:rFonts w:hint="eastAsia" w:ascii="宋体" w:hAnsi="宋体" w:cs="宋体"/>
                <w:color w:val="000000"/>
                <w:kern w:val="0"/>
                <w:szCs w:val="21"/>
                <w:highlight w:val="none"/>
              </w:rPr>
              <w:t>2.2.4（1）</w:t>
            </w:r>
          </w:p>
        </w:tc>
        <w:tc>
          <w:tcPr>
            <w:tcW w:w="602" w:type="dxa"/>
            <w:vMerge w:val="restart"/>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技术建议书</w:t>
            </w:r>
          </w:p>
        </w:tc>
        <w:tc>
          <w:tcPr>
            <w:tcW w:w="567" w:type="dxa"/>
            <w:vMerge w:val="restart"/>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50分</w:t>
            </w:r>
          </w:p>
        </w:tc>
        <w:tc>
          <w:tcPr>
            <w:tcW w:w="1340" w:type="dxa"/>
            <w:vMerge w:val="restart"/>
            <w:tcBorders>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color w:val="000000"/>
                <w:szCs w:val="21"/>
                <w:highlight w:val="none"/>
              </w:rPr>
              <w:t>技术方案</w:t>
            </w:r>
          </w:p>
        </w:tc>
        <w:tc>
          <w:tcPr>
            <w:tcW w:w="782" w:type="dxa"/>
            <w:vMerge w:val="restart"/>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szCs w:val="21"/>
                <w:highlight w:val="none"/>
              </w:rPr>
              <w:t>10分</w:t>
            </w:r>
          </w:p>
        </w:tc>
        <w:tc>
          <w:tcPr>
            <w:tcW w:w="5653" w:type="dxa"/>
            <w:tcBorders>
              <w:left w:val="single" w:color="auto" w:sz="4" w:space="0"/>
              <w:bottom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color w:val="000000"/>
                <w:szCs w:val="21"/>
                <w:highlight w:val="none"/>
              </w:rPr>
              <w:t>技术方案覆盖招标文件全部内容，</w:t>
            </w:r>
            <w:r>
              <w:rPr>
                <w:rFonts w:hint="eastAsia"/>
                <w:color w:val="000000"/>
                <w:szCs w:val="21"/>
                <w:highlight w:val="none"/>
              </w:rPr>
              <w:t>方案科学合理8-10分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pStyle w:val="8"/>
              <w:snapToGrid w:val="0"/>
              <w:spacing w:line="320" w:lineRule="exact"/>
              <w:jc w:val="left"/>
              <w:rPr>
                <w:rFonts w:hAnsi="宋体"/>
                <w:color w:val="000000"/>
                <w:highlight w:val="none"/>
                <w:lang w:val="en-US" w:eastAsia="zh-CN"/>
              </w:rPr>
            </w:pPr>
          </w:p>
        </w:tc>
        <w:tc>
          <w:tcPr>
            <w:tcW w:w="782" w:type="dxa"/>
            <w:vMerge w:val="continue"/>
            <w:tcBorders>
              <w:left w:val="single" w:color="auto" w:sz="4" w:space="0"/>
              <w:right w:val="single" w:color="auto" w:sz="4" w:space="0"/>
            </w:tcBorders>
            <w:noWrap w:val="0"/>
            <w:vAlign w:val="center"/>
          </w:tcPr>
          <w:p>
            <w:pPr>
              <w:pStyle w:val="8"/>
              <w:snapToGrid w:val="0"/>
              <w:spacing w:line="320" w:lineRule="exact"/>
              <w:rPr>
                <w:rFonts w:hAnsi="宋体" w:cs="宋体"/>
                <w:color w:val="000000"/>
                <w:highlight w:val="none"/>
                <w:lang w:val="en-US" w:eastAsia="zh-CN"/>
              </w:rPr>
            </w:pPr>
          </w:p>
        </w:tc>
        <w:tc>
          <w:tcPr>
            <w:tcW w:w="5653"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color w:val="000000"/>
                <w:szCs w:val="21"/>
                <w:highlight w:val="none"/>
              </w:rPr>
              <w:t>技术方案覆盖招标文件全部内容，</w:t>
            </w:r>
            <w:r>
              <w:rPr>
                <w:rFonts w:hint="eastAsia"/>
                <w:color w:val="000000"/>
                <w:szCs w:val="21"/>
                <w:highlight w:val="none"/>
              </w:rPr>
              <w:t>方案合理可行6-8分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pStyle w:val="8"/>
              <w:snapToGrid w:val="0"/>
              <w:spacing w:line="320" w:lineRule="exact"/>
              <w:jc w:val="left"/>
              <w:rPr>
                <w:rFonts w:hAnsi="宋体"/>
                <w:color w:val="000000"/>
                <w:highlight w:val="none"/>
                <w:lang w:val="en-US" w:eastAsia="zh-CN"/>
              </w:rPr>
            </w:pPr>
          </w:p>
        </w:tc>
        <w:tc>
          <w:tcPr>
            <w:tcW w:w="782" w:type="dxa"/>
            <w:vMerge w:val="continue"/>
            <w:tcBorders>
              <w:left w:val="single" w:color="auto" w:sz="4" w:space="0"/>
              <w:bottom w:val="single" w:color="auto" w:sz="4" w:space="0"/>
              <w:right w:val="single" w:color="auto" w:sz="4" w:space="0"/>
            </w:tcBorders>
            <w:noWrap w:val="0"/>
            <w:vAlign w:val="center"/>
          </w:tcPr>
          <w:p>
            <w:pPr>
              <w:pStyle w:val="8"/>
              <w:snapToGrid w:val="0"/>
              <w:spacing w:line="320" w:lineRule="exact"/>
              <w:rPr>
                <w:rFonts w:hAnsi="宋体" w:cs="宋体"/>
                <w:color w:val="000000"/>
                <w:highlight w:val="none"/>
                <w:lang w:val="en-US" w:eastAsia="zh-CN"/>
              </w:rPr>
            </w:pPr>
          </w:p>
        </w:tc>
        <w:tc>
          <w:tcPr>
            <w:tcW w:w="5653"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color w:val="000000"/>
                <w:szCs w:val="21"/>
                <w:highlight w:val="none"/>
              </w:rPr>
              <w:t>技术方案覆盖招标文件全部内容，</w:t>
            </w:r>
            <w:r>
              <w:rPr>
                <w:rFonts w:hint="eastAsia"/>
                <w:color w:val="000000"/>
                <w:szCs w:val="21"/>
                <w:highlight w:val="none"/>
              </w:rPr>
              <w:t>方案基本可行6分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restart"/>
            <w:tcBorders>
              <w:top w:val="single" w:color="auto" w:sz="4" w:space="0"/>
              <w:right w:val="single" w:color="auto" w:sz="4" w:space="0"/>
            </w:tcBorders>
            <w:noWrap w:val="0"/>
            <w:vAlign w:val="center"/>
          </w:tcPr>
          <w:p>
            <w:pPr>
              <w:snapToGrid w:val="0"/>
              <w:spacing w:line="320" w:lineRule="exact"/>
              <w:jc w:val="center"/>
              <w:rPr>
                <w:rFonts w:hint="eastAsia"/>
                <w:color w:val="000000"/>
                <w:szCs w:val="21"/>
                <w:highlight w:val="none"/>
              </w:rPr>
            </w:pPr>
            <w:r>
              <w:rPr>
                <w:rFonts w:hint="eastAsia"/>
                <w:color w:val="000000"/>
                <w:szCs w:val="21"/>
                <w:highlight w:val="none"/>
              </w:rPr>
              <w:t>项目管理和实施方案</w:t>
            </w:r>
          </w:p>
          <w:p>
            <w:pPr>
              <w:snapToGrid w:val="0"/>
              <w:spacing w:line="320" w:lineRule="exact"/>
              <w:jc w:val="center"/>
              <w:rPr>
                <w:rFonts w:hAnsi="宋体"/>
                <w:bCs/>
                <w:iCs/>
                <w:color w:val="000000"/>
                <w:szCs w:val="21"/>
                <w:highlight w:val="none"/>
              </w:rPr>
            </w:pPr>
            <w:r>
              <w:rPr>
                <w:rFonts w:hint="eastAsia" w:ascii="宋体" w:hAnsi="宋体" w:cs="宋体"/>
                <w:color w:val="000000"/>
                <w:szCs w:val="21"/>
                <w:highlight w:val="none"/>
              </w:rPr>
              <w:t>(30分)</w:t>
            </w:r>
          </w:p>
        </w:tc>
        <w:tc>
          <w:tcPr>
            <w:tcW w:w="782"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color w:val="000000"/>
                <w:kern w:val="0"/>
                <w:szCs w:val="21"/>
                <w:highlight w:val="none"/>
              </w:rPr>
            </w:pPr>
            <w:r>
              <w:rPr>
                <w:rFonts w:hint="eastAsia" w:ascii="宋体" w:hAnsi="宋体" w:cs="宋体"/>
                <w:color w:val="000000"/>
                <w:kern w:val="0"/>
                <w:szCs w:val="21"/>
                <w:highlight w:val="none"/>
              </w:rPr>
              <w:t>拟解决的关键问题</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（10分）</w:t>
            </w: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把握准确、描述具体清楚8-10分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bCs/>
                <w:iCs/>
                <w:color w:val="000000"/>
                <w:szCs w:val="21"/>
                <w:highlight w:val="none"/>
              </w:rPr>
            </w:pPr>
          </w:p>
        </w:tc>
        <w:tc>
          <w:tcPr>
            <w:tcW w:w="7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把握较准确、描述清楚6-8分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bCs/>
                <w:iCs/>
                <w:color w:val="000000"/>
                <w:szCs w:val="21"/>
                <w:highlight w:val="none"/>
              </w:rPr>
            </w:pPr>
          </w:p>
        </w:tc>
        <w:tc>
          <w:tcPr>
            <w:tcW w:w="7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把握基本准确、描述基本清楚6分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color w:val="000000"/>
                <w:szCs w:val="21"/>
                <w:highlight w:val="none"/>
              </w:rPr>
            </w:pPr>
          </w:p>
        </w:tc>
        <w:tc>
          <w:tcPr>
            <w:tcW w:w="782"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Ansi="宋体" w:cs="宋体"/>
                <w:color w:val="000000"/>
                <w:kern w:val="0"/>
                <w:szCs w:val="21"/>
                <w:highlight w:val="none"/>
              </w:rPr>
            </w:pPr>
            <w:r>
              <w:rPr>
                <w:rFonts w:hint="eastAsia" w:ascii="宋体" w:hAnsi="宋体" w:cs="宋体"/>
                <w:color w:val="000000"/>
                <w:kern w:val="0"/>
                <w:szCs w:val="21"/>
                <w:highlight w:val="none"/>
              </w:rPr>
              <w:t>主要研究内容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（10分）</w:t>
            </w: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把握准确、描述具体清楚8-10分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color w:val="000000"/>
                <w:szCs w:val="21"/>
                <w:highlight w:val="none"/>
              </w:rPr>
            </w:pPr>
          </w:p>
        </w:tc>
        <w:tc>
          <w:tcPr>
            <w:tcW w:w="7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把握较准确、描述清楚6-8分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color w:val="000000"/>
                <w:szCs w:val="21"/>
                <w:highlight w:val="none"/>
              </w:rPr>
            </w:pPr>
          </w:p>
        </w:tc>
        <w:tc>
          <w:tcPr>
            <w:tcW w:w="7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把握基本准确、描述基本清楚6分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color w:val="000000"/>
                <w:szCs w:val="21"/>
                <w:highlight w:val="none"/>
              </w:rPr>
            </w:pPr>
          </w:p>
        </w:tc>
        <w:tc>
          <w:tcPr>
            <w:tcW w:w="782"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Ansi="宋体" w:cs="宋体"/>
                <w:color w:val="000000"/>
                <w:kern w:val="0"/>
                <w:szCs w:val="21"/>
                <w:highlight w:val="none"/>
              </w:rPr>
            </w:pPr>
            <w:r>
              <w:rPr>
                <w:rFonts w:hint="eastAsia" w:ascii="宋体" w:hAnsi="宋体" w:cs="宋体"/>
                <w:color w:val="000000"/>
                <w:kern w:val="0"/>
                <w:szCs w:val="21"/>
                <w:highlight w:val="none"/>
              </w:rPr>
              <w:t>拟采用的技术路线</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（5分）</w:t>
            </w: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技术路线切实可行4-5分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color w:val="000000"/>
                <w:szCs w:val="21"/>
                <w:highlight w:val="none"/>
              </w:rPr>
            </w:pPr>
          </w:p>
        </w:tc>
        <w:tc>
          <w:tcPr>
            <w:tcW w:w="7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技术路比较线切实可行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color w:val="000000"/>
                <w:szCs w:val="21"/>
                <w:highlight w:val="none"/>
              </w:rPr>
            </w:pPr>
          </w:p>
        </w:tc>
        <w:tc>
          <w:tcPr>
            <w:tcW w:w="7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技术路线不太可行或基本可行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ascii="宋体" w:hAnsi="宋体" w:cs="宋体"/>
                <w:color w:val="000000"/>
                <w:kern w:val="0"/>
                <w:szCs w:val="21"/>
                <w:highlight w:val="none"/>
              </w:rPr>
            </w:pPr>
          </w:p>
        </w:tc>
        <w:tc>
          <w:tcPr>
            <w:tcW w:w="782"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ascii="宋体" w:hAnsi="宋体" w:cs="宋体"/>
                <w:color w:val="000000"/>
                <w:kern w:val="0"/>
                <w:szCs w:val="21"/>
                <w:highlight w:val="none"/>
              </w:rPr>
            </w:pPr>
            <w:r>
              <w:rPr>
                <w:rFonts w:hint="eastAsia" w:ascii="宋体" w:hAnsi="宋体" w:cs="宋体"/>
                <w:color w:val="000000"/>
                <w:kern w:val="0"/>
                <w:szCs w:val="21"/>
                <w:highlight w:val="none"/>
              </w:rPr>
              <w:t>本项目创新点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（5分）</w:t>
            </w: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创新点明确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ascii="宋体" w:hAnsi="宋体" w:cs="宋体"/>
                <w:color w:val="000000"/>
                <w:kern w:val="0"/>
                <w:szCs w:val="21"/>
                <w:highlight w:val="none"/>
              </w:rPr>
            </w:pPr>
          </w:p>
        </w:tc>
        <w:tc>
          <w:tcPr>
            <w:tcW w:w="782"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ascii="宋体"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创新点较为明确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autoSpaceDE w:val="0"/>
              <w:autoSpaceDN w:val="0"/>
              <w:adjustRightInd w:val="0"/>
              <w:snapToGrid w:val="0"/>
              <w:spacing w:line="320" w:lineRule="exact"/>
              <w:ind w:left="37" w:right="17"/>
              <w:jc w:val="center"/>
              <w:rPr>
                <w:rFonts w:ascii="宋体" w:hAnsi="宋体" w:cs="宋体"/>
                <w:color w:val="000000"/>
                <w:kern w:val="0"/>
                <w:szCs w:val="21"/>
                <w:highlight w:val="none"/>
              </w:rPr>
            </w:pPr>
          </w:p>
        </w:tc>
        <w:tc>
          <w:tcPr>
            <w:tcW w:w="782"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ascii="宋体"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color w:val="000000"/>
                <w:szCs w:val="21"/>
                <w:highlight w:val="none"/>
              </w:rPr>
            </w:pPr>
            <w:r>
              <w:rPr>
                <w:rFonts w:hint="eastAsia" w:ascii="宋体" w:hAnsi="宋体" w:cs="宋体"/>
                <w:color w:val="000000"/>
                <w:kern w:val="0"/>
                <w:szCs w:val="21"/>
                <w:highlight w:val="none"/>
              </w:rPr>
              <w:t>创新点不太明确3分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color w:val="000000"/>
                <w:szCs w:val="21"/>
                <w:highlight w:val="none"/>
              </w:rPr>
              <w:t>经济效益分析</w:t>
            </w:r>
          </w:p>
        </w:tc>
        <w:tc>
          <w:tcPr>
            <w:tcW w:w="782"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olor w:val="000000"/>
                <w:spacing w:val="-12"/>
                <w:szCs w:val="21"/>
                <w:highlight w:val="none"/>
              </w:rPr>
              <w:t>5分</w:t>
            </w:r>
          </w:p>
        </w:tc>
        <w:tc>
          <w:tcPr>
            <w:tcW w:w="5653"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rFonts w:hint="eastAsia"/>
                <w:color w:val="000000"/>
                <w:szCs w:val="21"/>
                <w:highlight w:val="none"/>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782"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rFonts w:hint="eastAsia"/>
                <w:color w:val="000000"/>
                <w:szCs w:val="21"/>
                <w:highlight w:val="none"/>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782"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color w:val="000000"/>
                <w:szCs w:val="21"/>
                <w:highlight w:val="none"/>
              </w:rPr>
            </w:pPr>
            <w:r>
              <w:rPr>
                <w:rFonts w:hint="eastAsia"/>
                <w:color w:val="000000"/>
                <w:szCs w:val="21"/>
                <w:highlight w:val="none"/>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color w:val="000000"/>
                <w:szCs w:val="21"/>
                <w:highlight w:val="none"/>
              </w:rPr>
              <w:t xml:space="preserve">项目研究质量与进度保障措施 </w:t>
            </w:r>
          </w:p>
        </w:tc>
        <w:tc>
          <w:tcPr>
            <w:tcW w:w="782"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olor w:val="000000"/>
                <w:szCs w:val="21"/>
                <w:highlight w:val="none"/>
              </w:rPr>
              <w:t>5分</w:t>
            </w:r>
          </w:p>
        </w:tc>
        <w:tc>
          <w:tcPr>
            <w:tcW w:w="5653"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rFonts w:hint="eastAsia"/>
                <w:color w:val="000000"/>
                <w:szCs w:val="21"/>
                <w:highlight w:val="none"/>
              </w:rPr>
              <w:t>研究质量与进度保障措施科学合理，可操作性强4-5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782"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5653"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rFonts w:hint="eastAsia"/>
                <w:color w:val="000000"/>
                <w:szCs w:val="21"/>
                <w:highlight w:val="none"/>
              </w:rPr>
              <w:t>研究质量与进度保障措施较合理，可操作性较强3-4分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1"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782"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5653" w:type="dxa"/>
            <w:tcBorders>
              <w:top w:val="single" w:color="auto" w:sz="4" w:space="0"/>
              <w:left w:val="single" w:color="auto" w:sz="4" w:space="0"/>
            </w:tcBorders>
            <w:noWrap w:val="0"/>
            <w:vAlign w:val="center"/>
          </w:tcPr>
          <w:p>
            <w:pPr>
              <w:widowControl/>
              <w:snapToGrid w:val="0"/>
              <w:spacing w:line="320" w:lineRule="exact"/>
              <w:textAlignment w:val="top"/>
              <w:rPr>
                <w:rFonts w:ascii="宋体" w:hAnsi="宋体"/>
                <w:color w:val="000000"/>
                <w:szCs w:val="21"/>
                <w:highlight w:val="none"/>
              </w:rPr>
            </w:pPr>
            <w:r>
              <w:rPr>
                <w:rFonts w:hint="eastAsia"/>
                <w:color w:val="000000"/>
                <w:szCs w:val="21"/>
                <w:highlight w:val="none"/>
              </w:rPr>
              <w:t>研究质量与进度保障措施一般，可操作性一般3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3" w:hRule="atLeast"/>
        </w:trPr>
        <w:tc>
          <w:tcPr>
            <w:tcW w:w="539" w:type="dxa"/>
            <w:vMerge w:val="restart"/>
            <w:noWrap w:val="0"/>
            <w:vAlign w:val="center"/>
          </w:tcPr>
          <w:p>
            <w:pPr>
              <w:autoSpaceDE w:val="0"/>
              <w:autoSpaceDN w:val="0"/>
              <w:snapToGrid w:val="0"/>
              <w:spacing w:line="320" w:lineRule="exact"/>
              <w:rPr>
                <w:rFonts w:ascii="宋体" w:hAnsi="宋体" w:cs="宋体"/>
                <w:color w:val="000000"/>
                <w:kern w:val="0"/>
                <w:szCs w:val="21"/>
                <w:highlight w:val="none"/>
              </w:rPr>
            </w:pPr>
            <w:r>
              <w:rPr>
                <w:rFonts w:hint="eastAsia" w:ascii="宋体" w:hAnsi="宋体" w:cs="宋体"/>
                <w:color w:val="000000"/>
                <w:kern w:val="0"/>
                <w:szCs w:val="21"/>
                <w:highlight w:val="none"/>
              </w:rPr>
              <w:t>2.2.4（2）</w:t>
            </w:r>
          </w:p>
        </w:tc>
        <w:tc>
          <w:tcPr>
            <w:tcW w:w="602" w:type="dxa"/>
            <w:vMerge w:val="restart"/>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主要人员</w:t>
            </w:r>
          </w:p>
        </w:tc>
        <w:tc>
          <w:tcPr>
            <w:tcW w:w="567" w:type="dxa"/>
            <w:vMerge w:val="restart"/>
            <w:noWrap w:val="0"/>
            <w:vAlign w:val="center"/>
          </w:tcPr>
          <w:p>
            <w:pPr>
              <w:autoSpaceDE w:val="0"/>
              <w:autoSpaceDN w:val="0"/>
              <w:snapToGrid w:val="0"/>
              <w:spacing w:line="320" w:lineRule="exact"/>
              <w:jc w:val="center"/>
              <w:rPr>
                <w:rFonts w:ascii="宋体" w:hAnsi="宋体" w:cs="宋体"/>
                <w:color w:val="000000"/>
                <w:kern w:val="0"/>
                <w:szCs w:val="21"/>
                <w:highlight w:val="none"/>
              </w:rPr>
            </w:pPr>
          </w:p>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20分</w:t>
            </w:r>
          </w:p>
          <w:p>
            <w:pPr>
              <w:autoSpaceDE w:val="0"/>
              <w:autoSpaceDN w:val="0"/>
              <w:snapToGrid w:val="0"/>
              <w:spacing w:line="320" w:lineRule="exact"/>
              <w:jc w:val="center"/>
              <w:rPr>
                <w:rFonts w:ascii="宋体" w:hAnsi="宋体" w:cs="宋体"/>
                <w:color w:val="000000"/>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color w:val="000000"/>
                <w:highlight w:val="none"/>
              </w:rPr>
              <w:t>项目负责人</w:t>
            </w:r>
          </w:p>
        </w:tc>
        <w:tc>
          <w:tcPr>
            <w:tcW w:w="782"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olor w:val="000000"/>
                <w:szCs w:val="21"/>
                <w:highlight w:val="none"/>
              </w:rPr>
            </w:pPr>
            <w:r>
              <w:rPr>
                <w:rFonts w:hint="eastAsia" w:ascii="宋体" w:hAnsi="宋体"/>
                <w:color w:val="000000"/>
                <w:szCs w:val="21"/>
                <w:highlight w:val="none"/>
              </w:rPr>
              <w:t>20分</w:t>
            </w:r>
          </w:p>
        </w:tc>
        <w:tc>
          <w:tcPr>
            <w:tcW w:w="5653" w:type="dxa"/>
            <w:tcBorders>
              <w:top w:val="single" w:color="auto" w:sz="4" w:space="0"/>
              <w:left w:val="single" w:color="auto" w:sz="4" w:space="0"/>
              <w:bottom w:val="single" w:color="auto" w:sz="4" w:space="0"/>
            </w:tcBorders>
            <w:noWrap w:val="0"/>
            <w:vAlign w:val="center"/>
          </w:tcPr>
          <w:p>
            <w:pPr>
              <w:pStyle w:val="8"/>
              <w:snapToGrid w:val="0"/>
              <w:spacing w:line="320" w:lineRule="exact"/>
              <w:rPr>
                <w:rFonts w:hAnsi="宋体"/>
                <w:color w:val="000000"/>
                <w:highlight w:val="none"/>
                <w:lang w:val="en-US" w:eastAsia="zh-CN"/>
              </w:rPr>
            </w:pPr>
            <w:r>
              <w:rPr>
                <w:rFonts w:hint="eastAsia"/>
                <w:color w:val="000000"/>
                <w:highlight w:val="none"/>
                <w:lang w:val="en-US" w:eastAsia="zh-CN"/>
              </w:rPr>
              <w:t>项目负责人满足投标人须知前附表附录4资格审查条件（主要人员最低要求）</w:t>
            </w:r>
            <w:r>
              <w:rPr>
                <w:color w:val="000000"/>
                <w:highlight w:val="none"/>
                <w:lang w:val="en-US" w:eastAsia="zh-CN"/>
              </w:rPr>
              <w:t>得</w:t>
            </w:r>
            <w:r>
              <w:rPr>
                <w:rFonts w:hint="eastAsia"/>
                <w:color w:val="000000"/>
                <w:highlight w:val="none"/>
                <w:lang w:val="en-US" w:eastAsia="zh-CN"/>
              </w:rPr>
              <w:t>12</w:t>
            </w:r>
            <w:r>
              <w:rPr>
                <w:color w:val="000000"/>
                <w:highlight w:val="none"/>
                <w:lang w:val="en-US" w:eastAsia="zh-CN"/>
              </w:rPr>
              <w:t>分</w:t>
            </w:r>
            <w:r>
              <w:rPr>
                <w:rFonts w:hint="eastAsia"/>
                <w:color w:val="000000"/>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hint="eastAsia"/>
                <w:color w:val="000000"/>
                <w:szCs w:val="21"/>
                <w:highlight w:val="none"/>
              </w:rPr>
            </w:pPr>
          </w:p>
        </w:tc>
        <w:tc>
          <w:tcPr>
            <w:tcW w:w="782"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color w:val="000000"/>
                <w:szCs w:val="21"/>
                <w:highlight w:val="none"/>
              </w:rPr>
            </w:pPr>
          </w:p>
        </w:tc>
        <w:tc>
          <w:tcPr>
            <w:tcW w:w="5653" w:type="dxa"/>
            <w:tcBorders>
              <w:top w:val="single" w:color="auto" w:sz="4" w:space="0"/>
              <w:left w:val="single" w:color="auto" w:sz="4" w:space="0"/>
              <w:bottom w:val="single" w:color="auto" w:sz="4" w:space="0"/>
            </w:tcBorders>
            <w:noWrap w:val="0"/>
            <w:vAlign w:val="center"/>
          </w:tcPr>
          <w:p>
            <w:pPr>
              <w:pStyle w:val="8"/>
              <w:snapToGrid w:val="0"/>
              <w:spacing w:line="320" w:lineRule="exact"/>
              <w:rPr>
                <w:rFonts w:hint="eastAsia"/>
                <w:color w:val="000000"/>
                <w:highlight w:val="none"/>
                <w:lang w:val="en-US" w:eastAsia="zh-CN"/>
              </w:rPr>
            </w:pPr>
            <w:r>
              <w:rPr>
                <w:rFonts w:hint="eastAsia"/>
                <w:color w:val="000000"/>
                <w:highlight w:val="none"/>
                <w:lang w:val="en-US" w:eastAsia="zh-CN"/>
              </w:rPr>
              <w:t>项目负责人具有正</w:t>
            </w:r>
            <w:r>
              <w:rPr>
                <w:color w:val="000000"/>
                <w:highlight w:val="none"/>
                <w:lang w:val="en-US" w:eastAsia="zh-CN"/>
              </w:rPr>
              <w:t>高级职称</w:t>
            </w:r>
            <w:r>
              <w:rPr>
                <w:rFonts w:hint="eastAsia"/>
                <w:color w:val="000000"/>
                <w:highlight w:val="none"/>
                <w:lang w:val="en-US" w:eastAsia="zh-CN"/>
              </w:rPr>
              <w:t>或博士学位的加4分，本项最多得4分。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jc w:val="center"/>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hint="eastAsia"/>
                <w:color w:val="000000"/>
                <w:szCs w:val="21"/>
                <w:highlight w:val="none"/>
              </w:rPr>
            </w:pPr>
          </w:p>
        </w:tc>
        <w:tc>
          <w:tcPr>
            <w:tcW w:w="782"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color w:val="000000"/>
                <w:szCs w:val="21"/>
                <w:highlight w:val="none"/>
              </w:rPr>
            </w:pPr>
          </w:p>
        </w:tc>
        <w:tc>
          <w:tcPr>
            <w:tcW w:w="5653" w:type="dxa"/>
            <w:tcBorders>
              <w:top w:val="single" w:color="auto" w:sz="4" w:space="0"/>
              <w:left w:val="single" w:color="auto" w:sz="4" w:space="0"/>
            </w:tcBorders>
            <w:noWrap w:val="0"/>
            <w:vAlign w:val="center"/>
          </w:tcPr>
          <w:p>
            <w:pPr>
              <w:pStyle w:val="8"/>
              <w:snapToGrid w:val="0"/>
              <w:spacing w:line="320" w:lineRule="exact"/>
              <w:rPr>
                <w:rFonts w:hint="eastAsia"/>
                <w:color w:val="000000"/>
                <w:highlight w:val="none"/>
                <w:lang w:val="en-US" w:eastAsia="zh-CN"/>
              </w:rPr>
            </w:pPr>
            <w:r>
              <w:rPr>
                <w:rFonts w:hint="eastAsia" w:hAnsi="宋体" w:cs="宋体"/>
                <w:color w:val="000000"/>
                <w:sz w:val="21"/>
                <w:szCs w:val="21"/>
                <w:highlight w:val="none"/>
                <w:lang w:val="en-US" w:eastAsia="zh-CN"/>
              </w:rPr>
              <w:t>近5年内(2017年11月1日至今，以通过成果验收或鉴定时间或登记时间为准)，作为项目负责人每主持过1项交通类科研项目的研究，且须为通过省级及以上主管部门验收（或鉴定）或在省级及以上科技主管部门完成成果登记的科研项目，加4分，本项最高得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pPr>
              <w:autoSpaceDE w:val="0"/>
              <w:autoSpaceDN w:val="0"/>
              <w:snapToGrid w:val="0"/>
              <w:spacing w:line="320" w:lineRule="exact"/>
              <w:rPr>
                <w:rFonts w:ascii="宋体" w:hAnsi="宋体" w:cs="宋体"/>
                <w:color w:val="000000"/>
                <w:kern w:val="0"/>
                <w:szCs w:val="21"/>
                <w:highlight w:val="none"/>
              </w:rPr>
            </w:pPr>
            <w:r>
              <w:rPr>
                <w:rFonts w:hint="eastAsia" w:ascii="宋体" w:hAnsi="宋体" w:cs="宋体"/>
                <w:color w:val="000000"/>
                <w:kern w:val="0"/>
                <w:szCs w:val="21"/>
                <w:highlight w:val="none"/>
              </w:rPr>
              <w:t>2.2.4（3）</w:t>
            </w:r>
          </w:p>
        </w:tc>
        <w:tc>
          <w:tcPr>
            <w:tcW w:w="602" w:type="dxa"/>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评标价</w:t>
            </w:r>
          </w:p>
        </w:tc>
        <w:tc>
          <w:tcPr>
            <w:tcW w:w="567" w:type="dxa"/>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10分</w:t>
            </w:r>
          </w:p>
        </w:tc>
        <w:tc>
          <w:tcPr>
            <w:tcW w:w="7775" w:type="dxa"/>
            <w:gridSpan w:val="3"/>
            <w:tcBorders>
              <w:top w:val="single" w:color="auto" w:sz="4" w:space="0"/>
            </w:tcBorders>
            <w:noWrap w:val="0"/>
            <w:vAlign w:val="center"/>
          </w:tcPr>
          <w:p>
            <w:pPr>
              <w:snapToGrid w:val="0"/>
              <w:spacing w:line="320" w:lineRule="exact"/>
              <w:rPr>
                <w:color w:val="000000"/>
                <w:szCs w:val="21"/>
                <w:highlight w:val="none"/>
              </w:rPr>
            </w:pPr>
            <w:r>
              <w:rPr>
                <w:rFonts w:hint="eastAsia"/>
                <w:color w:val="000000"/>
                <w:szCs w:val="21"/>
                <w:highlight w:val="none"/>
              </w:rPr>
              <w:t>评标价得分计算公式示例：</w:t>
            </w:r>
          </w:p>
          <w:p>
            <w:pPr>
              <w:snapToGrid w:val="0"/>
              <w:spacing w:line="320" w:lineRule="exact"/>
              <w:rPr>
                <w:color w:val="000000"/>
                <w:szCs w:val="21"/>
                <w:highlight w:val="none"/>
              </w:rPr>
            </w:pPr>
            <w:r>
              <w:rPr>
                <w:rFonts w:hint="eastAsia"/>
                <w:color w:val="000000"/>
                <w:szCs w:val="21"/>
                <w:highlight w:val="none"/>
              </w:rPr>
              <w:t>（1）如果投标人的评标价＞评标基准价，则评标价得分=F-（投标人投标价-评标基准价）/评标基准价×100×E1</w:t>
            </w:r>
          </w:p>
          <w:p>
            <w:pPr>
              <w:snapToGrid w:val="0"/>
              <w:spacing w:line="320" w:lineRule="exact"/>
              <w:rPr>
                <w:color w:val="000000"/>
                <w:szCs w:val="21"/>
                <w:highlight w:val="none"/>
              </w:rPr>
            </w:pPr>
            <w:r>
              <w:rPr>
                <w:rFonts w:hint="eastAsia"/>
                <w:color w:val="000000"/>
                <w:szCs w:val="21"/>
                <w:highlight w:val="none"/>
              </w:rPr>
              <w:t>（2）如果投标人的评标价≤评标基准价，则评标价得分=F+(投标人投标价-评标基准价)/评标基准价×100×E2</w:t>
            </w:r>
          </w:p>
          <w:p>
            <w:pPr>
              <w:snapToGrid w:val="0"/>
              <w:spacing w:line="320" w:lineRule="exact"/>
              <w:rPr>
                <w:color w:val="000000"/>
                <w:szCs w:val="21"/>
                <w:highlight w:val="none"/>
              </w:rPr>
            </w:pPr>
            <w:r>
              <w:rPr>
                <w:rFonts w:hint="eastAsia"/>
                <w:color w:val="000000"/>
                <w:szCs w:val="21"/>
                <w:highlight w:val="none"/>
              </w:rPr>
              <w:t>其中，F=10；E1=0.2；E2=0.1；评标价最低得分为0分</w:t>
            </w:r>
          </w:p>
          <w:p>
            <w:pPr>
              <w:pStyle w:val="7"/>
              <w:snapToGrid w:val="0"/>
              <w:spacing w:line="320" w:lineRule="exact"/>
              <w:rPr>
                <w:color w:val="000000"/>
                <w:sz w:val="21"/>
                <w:szCs w:val="21"/>
                <w:highlight w:val="none"/>
                <w:lang w:val="en-US" w:eastAsia="zh-CN"/>
              </w:rPr>
            </w:pPr>
            <w:r>
              <w:rPr>
                <w:rFonts w:hint="eastAsia"/>
                <w:color w:val="000000"/>
                <w:sz w:val="21"/>
                <w:szCs w:val="21"/>
                <w:highlight w:val="none"/>
                <w:lang w:val="en-US" w:eastAsia="zh-CN"/>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pPr>
              <w:autoSpaceDE w:val="0"/>
              <w:autoSpaceDN w:val="0"/>
              <w:snapToGrid w:val="0"/>
              <w:spacing w:line="320" w:lineRule="exact"/>
              <w:rPr>
                <w:rFonts w:ascii="宋体" w:hAnsi="宋体" w:cs="宋体"/>
                <w:color w:val="000000"/>
                <w:kern w:val="0"/>
                <w:szCs w:val="21"/>
                <w:highlight w:val="none"/>
              </w:rPr>
            </w:pPr>
            <w:r>
              <w:rPr>
                <w:rFonts w:hint="eastAsia" w:ascii="宋体" w:hAnsi="宋体" w:cs="宋体"/>
                <w:color w:val="000000"/>
                <w:kern w:val="0"/>
                <w:szCs w:val="21"/>
                <w:highlight w:val="none"/>
              </w:rPr>
              <w:t>2.2.4（4）</w:t>
            </w:r>
          </w:p>
        </w:tc>
        <w:tc>
          <w:tcPr>
            <w:tcW w:w="602" w:type="dxa"/>
            <w:vMerge w:val="restart"/>
            <w:tcBorders>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其他因素</w:t>
            </w:r>
          </w:p>
        </w:tc>
        <w:tc>
          <w:tcPr>
            <w:tcW w:w="567" w:type="dxa"/>
            <w:vMerge w:val="restart"/>
            <w:tcBorders>
              <w:lef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20分</w:t>
            </w: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ind w:firstLine="210" w:firstLineChars="100"/>
              <w:rPr>
                <w:rFonts w:ascii="宋体" w:hAnsi="宋体" w:cs="宋体"/>
                <w:color w:val="000000"/>
                <w:kern w:val="0"/>
                <w:szCs w:val="21"/>
                <w:highlight w:val="none"/>
              </w:rPr>
            </w:pPr>
            <w:r>
              <w:rPr>
                <w:rFonts w:hint="eastAsia" w:ascii="宋体" w:hAnsi="宋体" w:cs="宋体"/>
                <w:color w:val="000000"/>
                <w:szCs w:val="21"/>
                <w:highlight w:val="none"/>
              </w:rPr>
              <w:t>投标人业绩</w:t>
            </w:r>
          </w:p>
        </w:tc>
        <w:tc>
          <w:tcPr>
            <w:tcW w:w="782"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olor w:val="000000"/>
                <w:szCs w:val="21"/>
                <w:highlight w:val="none"/>
              </w:rPr>
            </w:pPr>
            <w:r>
              <w:rPr>
                <w:rFonts w:hint="eastAsia" w:ascii="宋体" w:hAnsi="宋体"/>
                <w:color w:val="000000"/>
                <w:szCs w:val="21"/>
                <w:highlight w:val="none"/>
              </w:rPr>
              <w:t>20分</w:t>
            </w:r>
          </w:p>
        </w:tc>
        <w:tc>
          <w:tcPr>
            <w:tcW w:w="5653"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320" w:lineRule="exact"/>
              <w:rPr>
                <w:rFonts w:hint="eastAsia"/>
                <w:color w:val="000000"/>
                <w:highlight w:val="none"/>
              </w:rPr>
            </w:pPr>
            <w:r>
              <w:rPr>
                <w:rFonts w:hint="eastAsia"/>
                <w:color w:val="000000"/>
                <w:highlight w:val="none"/>
              </w:rPr>
              <w:t>满足投标人须知附录2资格审查条件（业绩最低条件）</w:t>
            </w:r>
            <w:r>
              <w:rPr>
                <w:color w:val="000000"/>
                <w:highlight w:val="none"/>
              </w:rPr>
              <w:t>得</w:t>
            </w:r>
            <w:r>
              <w:rPr>
                <w:rFonts w:hint="eastAsia"/>
                <w:color w:val="000000"/>
                <w:highlight w:val="none"/>
              </w:rPr>
              <w:t>12</w:t>
            </w:r>
            <w:r>
              <w:rPr>
                <w:color w:val="000000"/>
                <w:highlight w:val="none"/>
              </w:rPr>
              <w:t>分</w:t>
            </w:r>
            <w:r>
              <w:rPr>
                <w:rFonts w:hint="eastAsia"/>
                <w:color w:val="00000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6" w:hRule="atLeast"/>
        </w:trPr>
        <w:tc>
          <w:tcPr>
            <w:tcW w:w="539" w:type="dxa"/>
            <w:vMerge w:val="continue"/>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602" w:type="dxa"/>
            <w:vMerge w:val="continue"/>
            <w:tcBorders>
              <w:right w:val="single" w:color="auto" w:sz="4" w:space="0"/>
            </w:tcBorders>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567" w:type="dxa"/>
            <w:vMerge w:val="continue"/>
            <w:tcBorders>
              <w:left w:val="single" w:color="auto" w:sz="4" w:space="0"/>
            </w:tcBorders>
            <w:noWrap w:val="0"/>
            <w:vAlign w:val="center"/>
          </w:tcPr>
          <w:p>
            <w:pPr>
              <w:autoSpaceDE w:val="0"/>
              <w:autoSpaceDN w:val="0"/>
              <w:snapToGrid w:val="0"/>
              <w:spacing w:line="320" w:lineRule="exact"/>
              <w:rPr>
                <w:rFonts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ascii="宋体" w:hAnsi="宋体" w:cs="宋体"/>
                <w:color w:val="000000"/>
                <w:kern w:val="0"/>
                <w:szCs w:val="21"/>
                <w:highlight w:val="none"/>
              </w:rPr>
            </w:pPr>
          </w:p>
        </w:tc>
        <w:tc>
          <w:tcPr>
            <w:tcW w:w="782" w:type="dxa"/>
            <w:vMerge w:val="continue"/>
            <w:tcBorders>
              <w:left w:val="single" w:color="auto" w:sz="4" w:space="0"/>
              <w:right w:val="single" w:color="auto" w:sz="4" w:space="0"/>
            </w:tcBorders>
            <w:noWrap w:val="0"/>
            <w:vAlign w:val="center"/>
          </w:tcPr>
          <w:p>
            <w:pPr>
              <w:pStyle w:val="8"/>
              <w:snapToGrid w:val="0"/>
              <w:spacing w:line="320" w:lineRule="exact"/>
              <w:jc w:val="center"/>
              <w:rPr>
                <w:rFonts w:hAnsi="宋体"/>
                <w:color w:val="000000"/>
                <w:highlight w:val="none"/>
                <w:lang w:val="en-US" w:eastAsia="zh-CN"/>
              </w:rPr>
            </w:pPr>
          </w:p>
        </w:tc>
        <w:tc>
          <w:tcPr>
            <w:tcW w:w="5653" w:type="dxa"/>
            <w:tcBorders>
              <w:top w:val="single" w:color="auto" w:sz="4" w:space="0"/>
              <w:left w:val="single" w:color="auto" w:sz="4" w:space="0"/>
            </w:tcBorders>
            <w:noWrap w:val="0"/>
            <w:vAlign w:val="center"/>
          </w:tcPr>
          <w:p>
            <w:pPr>
              <w:autoSpaceDE w:val="0"/>
              <w:autoSpaceDN w:val="0"/>
              <w:adjustRightInd w:val="0"/>
              <w:snapToGrid w:val="0"/>
              <w:spacing w:line="320" w:lineRule="exact"/>
              <w:rPr>
                <w:rFonts w:hint="eastAsia"/>
                <w:color w:val="000000"/>
                <w:highlight w:val="none"/>
              </w:rPr>
            </w:pPr>
            <w:r>
              <w:rPr>
                <w:color w:val="000000"/>
                <w:highlight w:val="none"/>
              </w:rPr>
              <w:t>投标人</w:t>
            </w:r>
            <w:r>
              <w:rPr>
                <w:rFonts w:hint="eastAsia"/>
                <w:color w:val="000000"/>
                <w:highlight w:val="none"/>
              </w:rPr>
              <w:t>每增加</w:t>
            </w:r>
            <w:r>
              <w:rPr>
                <w:rFonts w:hint="eastAsia"/>
                <w:color w:val="000000"/>
                <w:szCs w:val="21"/>
                <w:highlight w:val="none"/>
              </w:rPr>
              <w:t>一个满足投标人须知附录2资格审查条件（业绩最低条件）的业绩加4分，本项最高得8分。</w:t>
            </w:r>
          </w:p>
        </w:tc>
      </w:tr>
    </w:tbl>
    <w:p>
      <w:pPr>
        <w:widowControl/>
        <w:snapToGrid w:val="0"/>
        <w:spacing w:line="300" w:lineRule="auto"/>
        <w:jc w:val="left"/>
        <w:rPr>
          <w:color w:val="000000"/>
          <w:highlight w:val="none"/>
        </w:rPr>
      </w:pPr>
      <w:r>
        <w:rPr>
          <w:rFonts w:hint="eastAsia" w:ascii="宋体" w:hAnsi="宋体" w:cs="宋体"/>
          <w:color w:val="000000"/>
          <w:kern w:val="0"/>
          <w:szCs w:val="21"/>
          <w:highlight w:val="none"/>
          <w:lang w:bidi="ar"/>
        </w:rPr>
        <w:t>注：1、各评分因素得分应以评标委员会各成员的打分平均值确定，保留两位小数，第三位四舍五入。</w:t>
      </w:r>
    </w:p>
    <w:p>
      <w:pPr>
        <w:rPr>
          <w:rFonts w:ascii="宋体" w:hAnsi="宋体"/>
          <w:color w:val="000000"/>
          <w:szCs w:val="21"/>
          <w:highlight w:val="none"/>
        </w:rPr>
      </w:pPr>
      <w:r>
        <w:rPr>
          <w:rFonts w:hint="eastAsia" w:ascii="宋体" w:hAnsi="宋体" w:cs="宋体"/>
          <w:color w:val="000000"/>
          <w:kern w:val="0"/>
          <w:szCs w:val="21"/>
          <w:highlight w:val="none"/>
          <w:lang w:bidi="ar"/>
        </w:rPr>
        <w:t>2、</w:t>
      </w:r>
      <w:r>
        <w:rPr>
          <w:rFonts w:hint="eastAsia" w:ascii="宋体" w:hAnsi="宋体" w:cs="宋体"/>
          <w:color w:val="000000"/>
          <w:kern w:val="0"/>
          <w:szCs w:val="21"/>
          <w:highlight w:val="none"/>
        </w:rPr>
        <w:t>技术建议书</w:t>
      </w:r>
      <w:r>
        <w:rPr>
          <w:rFonts w:hint="eastAsia" w:ascii="宋体" w:hAnsi="宋体" w:cs="宋体"/>
          <w:color w:val="000000"/>
          <w:kern w:val="0"/>
          <w:szCs w:val="21"/>
          <w:highlight w:val="none"/>
          <w:lang w:bidi="ar"/>
        </w:rPr>
        <w:t>评分因素细分项存在缺项的，则该项计0分</w:t>
      </w:r>
      <w:r>
        <w:rPr>
          <w:rFonts w:ascii="宋体" w:hAnsi="宋体"/>
          <w:color w:val="000000"/>
          <w:szCs w:val="21"/>
          <w:highlight w:val="none"/>
        </w:rPr>
        <w:t>。</w:t>
      </w:r>
      <w:bookmarkEnd w:id="0"/>
    </w:p>
    <w:p>
      <w:pPr>
        <w:bidi w:val="0"/>
      </w:pPr>
    </w:p>
    <w:p>
      <w:pPr>
        <w:bidi w:val="0"/>
      </w:pPr>
    </w:p>
    <w:p>
      <w:pPr>
        <w:bidi w:val="0"/>
      </w:pPr>
    </w:p>
    <w:p>
      <w:pPr>
        <w:bidi w:val="0"/>
      </w:pPr>
    </w:p>
    <w:p>
      <w:pPr>
        <w:bidi w:val="0"/>
      </w:pPr>
    </w:p>
    <w:p>
      <w:pPr>
        <w:bidi w:val="0"/>
      </w:pPr>
    </w:p>
    <w:p>
      <w:pPr>
        <w:bidi w:val="0"/>
      </w:pPr>
    </w:p>
    <w:p>
      <w:pPr>
        <w:bidi w:val="0"/>
        <w:jc w:val="left"/>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3AF80B47"/>
    <w:rsid w:val="71350073"/>
    <w:rsid w:val="784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color w:val="000000"/>
    </w:rPr>
  </w:style>
  <w:style w:type="paragraph" w:styleId="3">
    <w:name w:val="Body Text Indent"/>
    <w:basedOn w:val="1"/>
    <w:next w:val="4"/>
    <w:qFormat/>
    <w:uiPriority w:val="0"/>
    <w:pPr>
      <w:ind w:firstLine="480"/>
    </w:pPr>
    <w:rPr>
      <w:rFonts w:ascii="Times New Roman" w:hAnsi="Times New Roman"/>
      <w:kern w:val="0"/>
      <w:sz w:val="24"/>
      <w:szCs w:val="20"/>
    </w:rPr>
  </w:style>
  <w:style w:type="paragraph" w:styleId="4">
    <w:name w:val="toc 8"/>
    <w:basedOn w:val="1"/>
    <w:next w:val="1"/>
    <w:qFormat/>
    <w:uiPriority w:val="39"/>
    <w:pPr>
      <w:ind w:left="1470"/>
      <w:jc w:val="left"/>
    </w:pPr>
    <w:rPr>
      <w:sz w:val="18"/>
      <w:szCs w:val="18"/>
    </w:rPr>
  </w:style>
  <w:style w:type="paragraph" w:styleId="5">
    <w:name w:val="annotation text"/>
    <w:basedOn w:val="1"/>
    <w:next w:val="6"/>
    <w:unhideWhenUsed/>
    <w:qFormat/>
    <w:uiPriority w:val="99"/>
    <w:pPr>
      <w:jc w:val="left"/>
    </w:pPr>
  </w:style>
  <w:style w:type="paragraph" w:styleId="6">
    <w:name w:val="table of authorities"/>
    <w:basedOn w:val="1"/>
    <w:next w:val="1"/>
    <w:qFormat/>
    <w:uiPriority w:val="0"/>
    <w:pPr>
      <w:ind w:left="200" w:leftChars="200"/>
    </w:pPr>
  </w:style>
  <w:style w:type="paragraph" w:styleId="7">
    <w:name w:val="Body Text"/>
    <w:basedOn w:val="1"/>
    <w:next w:val="1"/>
    <w:qFormat/>
    <w:uiPriority w:val="0"/>
    <w:rPr>
      <w:rFonts w:ascii="Times New Roman" w:hAnsi="Times New Roman"/>
      <w:kern w:val="0"/>
      <w:sz w:val="28"/>
      <w:szCs w:val="24"/>
    </w:rPr>
  </w:style>
  <w:style w:type="paragraph" w:styleId="8">
    <w:name w:val="Plain Text"/>
    <w:basedOn w:val="1"/>
    <w:qFormat/>
    <w:uiPriority w:val="99"/>
    <w:rPr>
      <w:rFonts w:ascii="宋体" w:hAnsi="Courier New"/>
      <w:kern w:val="0"/>
      <w:sz w:val="20"/>
      <w:szCs w:val="20"/>
    </w:rPr>
  </w:style>
  <w:style w:type="paragraph" w:styleId="9">
    <w:name w:val="Body Text 2"/>
    <w:basedOn w:val="1"/>
    <w:unhideWhenUsed/>
    <w:qFormat/>
    <w:uiPriority w:val="99"/>
    <w:pPr>
      <w:spacing w:after="120" w:line="480" w:lineRule="auto"/>
    </w:pPr>
    <w:rPr>
      <w:rFonts w:eastAsia="等线"/>
    </w:rPr>
  </w:style>
  <w:style w:type="paragraph" w:styleId="10">
    <w:name w:val="Title"/>
    <w:basedOn w:val="1"/>
    <w:next w:val="1"/>
    <w:qFormat/>
    <w:uiPriority w:val="0"/>
    <w:pPr>
      <w:spacing w:before="240" w:after="60"/>
      <w:jc w:val="center"/>
      <w:outlineLvl w:val="0"/>
    </w:pPr>
    <w:rPr>
      <w:rFonts w:ascii="Arial" w:hAnsi="Arial"/>
      <w:b/>
      <w:bCs/>
      <w:kern w:val="28"/>
      <w:sz w:val="32"/>
      <w:szCs w:val="32"/>
    </w:rPr>
  </w:style>
  <w:style w:type="character" w:customStyle="1" w:styleId="13">
    <w:name w:val="NormalCharacter"/>
    <w:qFormat/>
    <w:uiPriority w:val="0"/>
    <w:rPr>
      <w:rFonts w:ascii="Times New Roman" w:hAnsi="Times New Roman" w:eastAsia="宋体" w:cs="Times New Roman"/>
    </w:rPr>
  </w:style>
  <w:style w:type="paragraph" w:customStyle="1" w:styleId="14">
    <w:name w:val="正文部分 Char Char Char"/>
    <w:basedOn w:val="7"/>
    <w:next w:val="15"/>
    <w:qFormat/>
    <w:uiPriority w:val="99"/>
    <w:pPr>
      <w:spacing w:line="460" w:lineRule="exact"/>
      <w:textAlignment w:val="baseline"/>
    </w:pPr>
    <w:rPr>
      <w:sz w:val="24"/>
    </w:rPr>
  </w:style>
  <w:style w:type="paragraph" w:customStyle="1" w:styleId="15">
    <w:name w:val="章标题"/>
    <w:basedOn w:val="10"/>
    <w:qFormat/>
    <w:uiPriority w:val="99"/>
    <w:pPr>
      <w:spacing w:line="360" w:lineRule="auto"/>
    </w:pPr>
  </w:style>
  <w:style w:type="character" w:customStyle="1" w:styleId="16">
    <w:name w:val="目录4 Char"/>
    <w:qFormat/>
    <w:uiPriority w:val="0"/>
    <w:rPr>
      <w:rFonts w:ascii="黑体" w:eastAsia="黑体"/>
      <w:kern w:val="2"/>
      <w:sz w:val="24"/>
      <w:szCs w:val="24"/>
      <w:lang w:val="en-US" w:eastAsia="zh-CN" w:bidi="ar-SA"/>
    </w:rPr>
  </w:style>
  <w:style w:type="character" w:customStyle="1" w:styleId="17">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6439</Words>
  <Characters>6848</Characters>
  <Lines>0</Lines>
  <Paragraphs>0</Paragraphs>
  <TotalTime>0</TotalTime>
  <ScaleCrop>false</ScaleCrop>
  <LinksUpToDate>false</LinksUpToDate>
  <CharactersWithSpaces>6915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2022-11-27T11:05:00Z</dcterms:created>
  <dc:creator>Administrator</dc:creator>
  <cp:lastModifiedBy>丁燕</cp:lastModifiedBy>
  <dcterms:modified xsi:type="dcterms:W3CDTF">2022-11-28T01:23:40Z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A080AE9244B74776A28BDD9EAB5CF151</vt:lpwstr>
  </property>
</Properties>
</file>