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rPr>
          <w:b/>
          <w:sz w:val="24"/>
        </w:rPr>
      </w:pPr>
      <w:bookmarkStart w:id="17" w:name="_GoBack"/>
      <w:bookmarkEnd w:id="17"/>
      <w:r>
        <w:rPr>
          <w:rFonts w:hint="eastAsia"/>
          <w:b/>
          <w:sz w:val="24"/>
        </w:rPr>
        <w:t>附件1：资格审查条件</w:t>
      </w:r>
    </w:p>
    <w:p>
      <w:pPr>
        <w:pStyle w:val="4"/>
        <w:spacing w:before="0" w:after="0" w:line="440" w:lineRule="exact"/>
        <w:jc w:val="center"/>
        <w:rPr>
          <w:kern w:val="0"/>
        </w:rPr>
      </w:pPr>
      <w:r>
        <w:rPr>
          <w:rFonts w:hint="eastAsia"/>
          <w:sz w:val="24"/>
        </w:rPr>
        <w:t>附录1 资格审查条件（资质最低条件）</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7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440" w:type="pct"/>
            <w:vAlign w:val="center"/>
          </w:tcPr>
          <w:p>
            <w:pPr>
              <w:spacing w:line="360" w:lineRule="auto"/>
              <w:jc w:val="center"/>
            </w:pPr>
            <w:r>
              <w:t>项 目</w:t>
            </w:r>
          </w:p>
        </w:tc>
        <w:tc>
          <w:tcPr>
            <w:tcW w:w="4560" w:type="pct"/>
            <w:vAlign w:val="center"/>
          </w:tcPr>
          <w:p>
            <w:pPr>
              <w:spacing w:line="360" w:lineRule="auto"/>
              <w:jc w:val="center"/>
            </w:pPr>
            <w:r>
              <w:rPr>
                <w:rFonts w:hint="eastAsia"/>
              </w:rPr>
              <w:t>资质</w:t>
            </w:r>
            <w: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0" w:type="pct"/>
            <w:vAlign w:val="center"/>
          </w:tcPr>
          <w:p>
            <w:pPr>
              <w:spacing w:line="360" w:lineRule="auto"/>
              <w:jc w:val="center"/>
            </w:pPr>
            <w:r>
              <w:t>资 质</w:t>
            </w:r>
          </w:p>
        </w:tc>
        <w:tc>
          <w:tcPr>
            <w:tcW w:w="4560" w:type="pct"/>
            <w:vAlign w:val="center"/>
          </w:tcPr>
          <w:p>
            <w:pPr>
              <w:spacing w:line="360" w:lineRule="auto"/>
            </w:pPr>
            <w:r>
              <w:rPr>
                <w:rFonts w:hint="eastAsia"/>
              </w:rPr>
              <w:t>具有独立企业法人资格，</w:t>
            </w:r>
            <w:r>
              <w:t>持有有效</w:t>
            </w:r>
            <w:r>
              <w:rPr>
                <w:rFonts w:hint="eastAsia"/>
              </w:rPr>
              <w:t>的</w:t>
            </w:r>
            <w:r>
              <w:t>企业营业执照，</w:t>
            </w:r>
            <w:r>
              <w:rPr>
                <w:rFonts w:hint="eastAsia"/>
              </w:rPr>
              <w:t>具有交通运输部颁发的公路工程监理甲级资质。</w:t>
            </w:r>
          </w:p>
        </w:tc>
      </w:tr>
    </w:tbl>
    <w:p>
      <w:pPr>
        <w:rPr>
          <w:kern w:val="0"/>
          <w:sz w:val="24"/>
        </w:rPr>
      </w:pPr>
    </w:p>
    <w:p>
      <w:pPr>
        <w:spacing w:line="360" w:lineRule="auto"/>
        <w:jc w:val="center"/>
        <w:outlineLvl w:val="1"/>
        <w:rPr>
          <w:kern w:val="0"/>
        </w:rPr>
      </w:pPr>
      <w:r>
        <w:rPr>
          <w:rFonts w:hint="eastAsia"/>
          <w:b/>
          <w:sz w:val="24"/>
        </w:rPr>
        <w:t>附录2 资格审查条件（业绩最低条件）</w:t>
      </w:r>
    </w:p>
    <w:tbl>
      <w:tblPr>
        <w:tblStyle w:val="9"/>
        <w:tblW w:w="498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6"/>
        <w:gridCol w:w="7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734" w:type="pct"/>
            <w:tcBorders>
              <w:right w:val="single" w:color="auto" w:sz="4" w:space="0"/>
            </w:tcBorders>
            <w:vAlign w:val="center"/>
          </w:tcPr>
          <w:p>
            <w:pPr>
              <w:spacing w:line="320" w:lineRule="exact"/>
              <w:jc w:val="center"/>
            </w:pPr>
            <w:r>
              <w:rPr>
                <w:rFonts w:hint="eastAsia"/>
              </w:rPr>
              <w:t>项目</w:t>
            </w:r>
          </w:p>
        </w:tc>
        <w:tc>
          <w:tcPr>
            <w:tcW w:w="4266" w:type="pct"/>
            <w:tcBorders>
              <w:left w:val="single" w:color="auto" w:sz="4" w:space="0"/>
            </w:tcBorders>
            <w:vAlign w:val="center"/>
          </w:tcPr>
          <w:p>
            <w:pPr>
              <w:spacing w:line="320" w:lineRule="exact"/>
              <w:jc w:val="center"/>
            </w:pPr>
            <w:r>
              <w:rPr>
                <w:rFonts w:hint="eastAsia"/>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34" w:type="pct"/>
            <w:tcBorders>
              <w:right w:val="single" w:color="auto" w:sz="4" w:space="0"/>
            </w:tcBorders>
            <w:vAlign w:val="center"/>
          </w:tcPr>
          <w:p>
            <w:pPr>
              <w:spacing w:line="340" w:lineRule="exact"/>
              <w:jc w:val="center"/>
              <w:rPr>
                <w:rFonts w:ascii="宋体"/>
                <w:szCs w:val="21"/>
              </w:rPr>
            </w:pPr>
            <w:r>
              <w:rPr>
                <w:rFonts w:hint="eastAsia"/>
              </w:rPr>
              <w:t>1标段</w:t>
            </w:r>
          </w:p>
        </w:tc>
        <w:tc>
          <w:tcPr>
            <w:tcW w:w="4266" w:type="pct"/>
            <w:tcBorders>
              <w:left w:val="single" w:color="auto" w:sz="4" w:space="0"/>
            </w:tcBorders>
            <w:vAlign w:val="center"/>
          </w:tcPr>
          <w:p>
            <w:pPr>
              <w:spacing w:line="340" w:lineRule="exact"/>
              <w:rPr>
                <w:rFonts w:ascii="宋体"/>
                <w:szCs w:val="21"/>
              </w:rPr>
            </w:pPr>
            <w:r>
              <w:rPr>
                <w:rFonts w:hint="eastAsia"/>
              </w:rPr>
              <w:t>近5年内（2017年9月1日至今,以工程交工时间为准）</w:t>
            </w:r>
            <w:r>
              <w:rPr>
                <w:rFonts w:hint="eastAsia"/>
                <w:color w:val="000000"/>
                <w:sz w:val="23"/>
                <w:szCs w:val="23"/>
              </w:rPr>
              <w:t>至少独立完成过1项高速公路新改建或养护工程（含桥梁工程）施工监理业绩。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34" w:type="pct"/>
            <w:tcBorders>
              <w:right w:val="single" w:color="auto" w:sz="4" w:space="0"/>
            </w:tcBorders>
            <w:vAlign w:val="center"/>
          </w:tcPr>
          <w:p>
            <w:pPr>
              <w:spacing w:line="340" w:lineRule="exact"/>
              <w:jc w:val="center"/>
              <w:rPr>
                <w:rFonts w:ascii="宋体"/>
                <w:szCs w:val="21"/>
              </w:rPr>
            </w:pPr>
            <w:r>
              <w:rPr>
                <w:rFonts w:hint="eastAsia"/>
              </w:rPr>
              <w:t>2标段</w:t>
            </w:r>
          </w:p>
        </w:tc>
        <w:tc>
          <w:tcPr>
            <w:tcW w:w="4266" w:type="pct"/>
            <w:tcBorders>
              <w:left w:val="single" w:color="auto" w:sz="4" w:space="0"/>
            </w:tcBorders>
            <w:vAlign w:val="center"/>
          </w:tcPr>
          <w:p>
            <w:pPr>
              <w:spacing w:line="340" w:lineRule="exact"/>
              <w:rPr>
                <w:rFonts w:ascii="宋体"/>
                <w:szCs w:val="21"/>
              </w:rPr>
            </w:pPr>
            <w:r>
              <w:rPr>
                <w:rFonts w:hint="eastAsia"/>
              </w:rPr>
              <w:t>近5年内（2017年9月1日至今,以工程交工时间为准）</w:t>
            </w:r>
            <w:r>
              <w:rPr>
                <w:rFonts w:hint="eastAsia"/>
                <w:color w:val="000000"/>
                <w:sz w:val="23"/>
                <w:szCs w:val="23"/>
              </w:rPr>
              <w:t>至少独立完成过1项高速公路新改建或养护工程</w:t>
            </w:r>
            <w:r>
              <w:rPr>
                <w:rFonts w:hint="eastAsia" w:ascii="宋体" w:hAnsi="宋体" w:cs="宋体"/>
                <w:szCs w:val="21"/>
              </w:rPr>
              <w:t>（含路面）</w:t>
            </w:r>
            <w:r>
              <w:rPr>
                <w:rFonts w:hint="eastAsia" w:ascii="宋体"/>
                <w:szCs w:val="21"/>
              </w:rPr>
              <w:t>施工监理业绩。</w:t>
            </w:r>
          </w:p>
        </w:tc>
      </w:tr>
    </w:tbl>
    <w:p>
      <w:pPr>
        <w:spacing w:line="360" w:lineRule="auto"/>
        <w:jc w:val="center"/>
        <w:outlineLvl w:val="1"/>
        <w:rPr>
          <w:kern w:val="0"/>
        </w:rPr>
      </w:pPr>
    </w:p>
    <w:p>
      <w:pPr>
        <w:spacing w:line="360" w:lineRule="auto"/>
        <w:jc w:val="center"/>
        <w:outlineLvl w:val="1"/>
        <w:rPr>
          <w:b/>
          <w:sz w:val="24"/>
        </w:rPr>
      </w:pPr>
      <w:bookmarkStart w:id="0" w:name="_Toc232301621"/>
      <w:bookmarkStart w:id="1" w:name="_Toc445200801"/>
      <w:r>
        <w:rPr>
          <w:rFonts w:hint="eastAsia"/>
          <w:b/>
          <w:sz w:val="24"/>
        </w:rPr>
        <w:t>附录3  资格审查条件（信誉最低要求）</w:t>
      </w:r>
      <w:bookmarkEnd w:id="0"/>
      <w:bookmarkEnd w:id="1"/>
    </w:p>
    <w:tbl>
      <w:tblPr>
        <w:tblStyle w:val="9"/>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42" w:type="dxa"/>
            <w:vAlign w:val="center"/>
          </w:tcPr>
          <w:p>
            <w:pPr>
              <w:jc w:val="center"/>
            </w:pPr>
            <w:r>
              <w:rPr>
                <w:rFonts w:hint="eastAsia"/>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8542" w:type="dxa"/>
            <w:vAlign w:val="center"/>
          </w:tcPr>
          <w:p>
            <w:pPr>
              <w:adjustRightInd w:val="0"/>
              <w:snapToGrid w:val="0"/>
              <w:spacing w:line="276" w:lineRule="auto"/>
              <w:ind w:firstLine="420" w:firstLineChars="200"/>
            </w:pPr>
            <w:r>
              <w:rPr>
                <w:rFonts w:hint="eastAsia"/>
              </w:rPr>
              <w:t>投标人在过去1年中（2021年9月1日至今）不曾在公路工程监理合同中违约而被驱逐或因投标人自身的原因而使公路工程监理合同被解除。</w:t>
            </w:r>
          </w:p>
        </w:tc>
      </w:tr>
    </w:tbl>
    <w:p>
      <w:pPr>
        <w:spacing w:line="360" w:lineRule="auto"/>
        <w:jc w:val="center"/>
        <w:outlineLvl w:val="1"/>
        <w:rPr>
          <w:sz w:val="24"/>
        </w:rPr>
      </w:pPr>
      <w:bookmarkStart w:id="2" w:name="_Toc445200802"/>
      <w:bookmarkStart w:id="3" w:name="_Toc232301622"/>
    </w:p>
    <w:p>
      <w:pPr>
        <w:spacing w:line="360" w:lineRule="auto"/>
        <w:jc w:val="center"/>
        <w:outlineLvl w:val="1"/>
        <w:rPr>
          <w:b/>
          <w:sz w:val="24"/>
        </w:rPr>
      </w:pPr>
      <w:r>
        <w:rPr>
          <w:rFonts w:hint="eastAsia"/>
          <w:b/>
          <w:sz w:val="24"/>
        </w:rPr>
        <w:t>附录4  资格审查条件（主要人员最低要求）</w:t>
      </w:r>
      <w:bookmarkEnd w:id="2"/>
      <w:bookmarkEnd w:id="3"/>
    </w:p>
    <w:tbl>
      <w:tblPr>
        <w:tblStyle w:val="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9"/>
        <w:gridCol w:w="748"/>
        <w:gridCol w:w="624"/>
        <w:gridCol w:w="5175"/>
        <w:gridCol w:w="12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75" w:hRule="atLeast"/>
        </w:trPr>
        <w:tc>
          <w:tcPr>
            <w:tcW w:w="422" w:type="pct"/>
            <w:vAlign w:val="center"/>
          </w:tcPr>
          <w:p>
            <w:pPr>
              <w:jc w:val="center"/>
            </w:pPr>
            <w:r>
              <w:rPr>
                <w:rFonts w:hint="eastAsia"/>
              </w:rPr>
              <w:t>项目</w:t>
            </w:r>
          </w:p>
        </w:tc>
        <w:tc>
          <w:tcPr>
            <w:tcW w:w="439" w:type="pct"/>
            <w:vAlign w:val="center"/>
          </w:tcPr>
          <w:p>
            <w:pPr>
              <w:jc w:val="center"/>
            </w:pPr>
            <w:r>
              <w:rPr>
                <w:rFonts w:hint="eastAsia"/>
              </w:rPr>
              <w:t>人员</w:t>
            </w:r>
          </w:p>
        </w:tc>
        <w:tc>
          <w:tcPr>
            <w:tcW w:w="366" w:type="pct"/>
            <w:vAlign w:val="center"/>
          </w:tcPr>
          <w:p>
            <w:pPr>
              <w:jc w:val="center"/>
            </w:pPr>
            <w:r>
              <w:rPr>
                <w:rFonts w:hint="eastAsia"/>
              </w:rPr>
              <w:t>数量</w:t>
            </w:r>
          </w:p>
        </w:tc>
        <w:tc>
          <w:tcPr>
            <w:tcW w:w="3036" w:type="pct"/>
            <w:vAlign w:val="center"/>
          </w:tcPr>
          <w:p>
            <w:pPr>
              <w:jc w:val="center"/>
            </w:pPr>
            <w:r>
              <w:rPr>
                <w:rFonts w:hint="eastAsia"/>
              </w:rPr>
              <w:t>资格要求</w:t>
            </w:r>
          </w:p>
        </w:tc>
        <w:tc>
          <w:tcPr>
            <w:tcW w:w="737" w:type="pct"/>
            <w:vAlign w:val="center"/>
          </w:tcPr>
          <w:p>
            <w:pPr>
              <w:jc w:val="center"/>
              <w:rPr>
                <w:rFonts w:ascii="宋体" w:hAnsi="宋体"/>
                <w:szCs w:val="21"/>
              </w:rPr>
            </w:pPr>
            <w:r>
              <w:rPr>
                <w:rFonts w:hint="eastAsia" w:ascii="宋体" w:hAnsi="宋体"/>
                <w:szCs w:val="21"/>
              </w:rPr>
              <w:t>在岗要求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atLeast"/>
        </w:trPr>
        <w:tc>
          <w:tcPr>
            <w:tcW w:w="422" w:type="pct"/>
            <w:vAlign w:val="center"/>
          </w:tcPr>
          <w:p>
            <w:pPr>
              <w:jc w:val="center"/>
            </w:pPr>
            <w:r>
              <w:rPr>
                <w:rFonts w:hint="eastAsia"/>
              </w:rPr>
              <w:t>1标段</w:t>
            </w:r>
          </w:p>
        </w:tc>
        <w:tc>
          <w:tcPr>
            <w:tcW w:w="439" w:type="pct"/>
            <w:vAlign w:val="center"/>
          </w:tcPr>
          <w:p>
            <w:pPr>
              <w:jc w:val="center"/>
            </w:pPr>
            <w:r>
              <w:rPr>
                <w:rFonts w:hint="eastAsia"/>
              </w:rPr>
              <w:t>总监理工程师</w:t>
            </w:r>
          </w:p>
        </w:tc>
        <w:tc>
          <w:tcPr>
            <w:tcW w:w="366" w:type="pct"/>
            <w:vAlign w:val="center"/>
          </w:tcPr>
          <w:p>
            <w:pPr>
              <w:jc w:val="center"/>
              <w:rPr>
                <w:szCs w:val="21"/>
              </w:rPr>
            </w:pPr>
            <w:r>
              <w:rPr>
                <w:rFonts w:hint="eastAsia"/>
                <w:szCs w:val="21"/>
              </w:rPr>
              <w:t>1</w:t>
            </w:r>
          </w:p>
        </w:tc>
        <w:tc>
          <w:tcPr>
            <w:tcW w:w="3036" w:type="pct"/>
            <w:vAlign w:val="center"/>
          </w:tcPr>
          <w:p>
            <w:pPr>
              <w:jc w:val="center"/>
            </w:pPr>
            <w:r>
              <w:rPr>
                <w:rFonts w:hint="eastAsia"/>
                <w:szCs w:val="21"/>
              </w:rPr>
              <w:t>中级及以上</w:t>
            </w:r>
            <w:r>
              <w:rPr>
                <w:rFonts w:hint="eastAsia" w:cs="Arial"/>
                <w:szCs w:val="21"/>
              </w:rPr>
              <w:t>职称，具有交通运输部颁发的监理工程师（道路与桥梁专业）执业资格，并进行了从业登记（登记单位与投标人单位一致）；近5年内（2017年9月1日至今，以工程交工时间为准）</w:t>
            </w:r>
            <w:r>
              <w:rPr>
                <w:rFonts w:hint="eastAsia"/>
                <w:color w:val="000000"/>
                <w:sz w:val="23"/>
                <w:szCs w:val="23"/>
              </w:rPr>
              <w:t>至少独立完成过1项高速公路新改建或养护工程</w:t>
            </w:r>
            <w:r>
              <w:rPr>
                <w:rFonts w:hint="eastAsia" w:cs="Arial"/>
                <w:szCs w:val="21"/>
              </w:rPr>
              <w:t>（含桥梁）施工监理项目总监理工程师或驻地监理工程师。</w:t>
            </w:r>
          </w:p>
        </w:tc>
        <w:tc>
          <w:tcPr>
            <w:tcW w:w="737" w:type="pct"/>
            <w:vMerge w:val="restart"/>
            <w:vAlign w:val="center"/>
          </w:tcPr>
          <w:p>
            <w:pPr>
              <w:spacing w:line="280" w:lineRule="exact"/>
              <w:ind w:firstLine="420" w:firstLineChars="200"/>
              <w:rPr>
                <w:rFonts w:ascii="宋体" w:hAnsi="宋体"/>
                <w:szCs w:val="21"/>
              </w:rPr>
            </w:pPr>
            <w:r>
              <w:rPr>
                <w:rFonts w:hint="eastAsia" w:ascii="宋体" w:hAnsi="宋体"/>
              </w:rPr>
              <w:t>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8" w:hRule="atLeast"/>
        </w:trPr>
        <w:tc>
          <w:tcPr>
            <w:tcW w:w="422" w:type="pct"/>
            <w:vAlign w:val="center"/>
          </w:tcPr>
          <w:p>
            <w:pPr>
              <w:spacing w:line="420" w:lineRule="exact"/>
              <w:jc w:val="center"/>
            </w:pPr>
            <w:r>
              <w:rPr>
                <w:rFonts w:hint="eastAsia"/>
              </w:rPr>
              <w:t>2标段</w:t>
            </w:r>
          </w:p>
        </w:tc>
        <w:tc>
          <w:tcPr>
            <w:tcW w:w="439" w:type="pct"/>
            <w:vAlign w:val="center"/>
          </w:tcPr>
          <w:p>
            <w:pPr>
              <w:spacing w:line="420" w:lineRule="exact"/>
              <w:jc w:val="center"/>
              <w:rPr>
                <w:szCs w:val="21"/>
              </w:rPr>
            </w:pPr>
            <w:r>
              <w:rPr>
                <w:rFonts w:hint="eastAsia"/>
              </w:rPr>
              <w:t>总监理工程师</w:t>
            </w:r>
          </w:p>
        </w:tc>
        <w:tc>
          <w:tcPr>
            <w:tcW w:w="366" w:type="pct"/>
            <w:vAlign w:val="center"/>
          </w:tcPr>
          <w:p>
            <w:pPr>
              <w:pStyle w:val="8"/>
              <w:spacing w:before="0" w:beforeAutospacing="0" w:after="0" w:afterAutospacing="0"/>
              <w:contextualSpacing/>
              <w:jc w:val="center"/>
              <w:rPr>
                <w:color w:val="auto"/>
                <w:sz w:val="21"/>
                <w:szCs w:val="21"/>
              </w:rPr>
            </w:pPr>
            <w:r>
              <w:rPr>
                <w:rFonts w:hint="eastAsia"/>
                <w:color w:val="auto"/>
                <w:sz w:val="21"/>
                <w:szCs w:val="21"/>
              </w:rPr>
              <w:t>1</w:t>
            </w:r>
          </w:p>
        </w:tc>
        <w:tc>
          <w:tcPr>
            <w:tcW w:w="3036" w:type="pct"/>
            <w:vAlign w:val="center"/>
          </w:tcPr>
          <w:p>
            <w:pPr>
              <w:pStyle w:val="8"/>
              <w:spacing w:before="0" w:beforeAutospacing="0" w:after="0" w:afterAutospacing="0"/>
              <w:contextualSpacing/>
              <w:rPr>
                <w:rFonts w:cs="Arial"/>
                <w:color w:val="auto"/>
                <w:sz w:val="21"/>
                <w:szCs w:val="21"/>
              </w:rPr>
            </w:pPr>
            <w:r>
              <w:rPr>
                <w:rFonts w:hint="eastAsia"/>
                <w:color w:val="auto"/>
                <w:sz w:val="21"/>
                <w:szCs w:val="21"/>
              </w:rPr>
              <w:t>中级及以上</w:t>
            </w:r>
            <w:r>
              <w:rPr>
                <w:rFonts w:hint="eastAsia" w:cs="Arial"/>
                <w:color w:val="auto"/>
                <w:sz w:val="21"/>
                <w:szCs w:val="21"/>
              </w:rPr>
              <w:t>职称，具有交通运输部颁发的监理工程师（道路与桥梁专业）执业资格，并进行了从业登记（登记单位与投标人单位一致）；近5年内（2017年9月1日至今，以工程交工时间为准）</w:t>
            </w:r>
            <w:r>
              <w:rPr>
                <w:rFonts w:hint="eastAsia"/>
                <w:color w:val="000000"/>
                <w:sz w:val="23"/>
                <w:szCs w:val="23"/>
              </w:rPr>
              <w:t>至少独立完成过1项高速公路新改建或养护工程</w:t>
            </w:r>
            <w:r>
              <w:rPr>
                <w:rFonts w:hint="eastAsia" w:cs="Arial"/>
                <w:color w:val="auto"/>
                <w:sz w:val="21"/>
                <w:szCs w:val="21"/>
              </w:rPr>
              <w:t>（含路面）施工监理项目总监理工程师或驻地监理工程师。</w:t>
            </w:r>
          </w:p>
        </w:tc>
        <w:tc>
          <w:tcPr>
            <w:tcW w:w="737" w:type="pct"/>
            <w:vMerge w:val="continue"/>
            <w:vAlign w:val="center"/>
          </w:tcPr>
          <w:p>
            <w:pPr>
              <w:spacing w:line="280" w:lineRule="exact"/>
              <w:ind w:firstLine="420" w:firstLineChars="200"/>
              <w:rPr>
                <w:rFonts w:ascii="宋体" w:hAnsi="宋体"/>
              </w:rPr>
            </w:pPr>
          </w:p>
        </w:tc>
      </w:tr>
    </w:tbl>
    <w:p>
      <w:pPr>
        <w:rPr>
          <w:rFonts w:ascii="宋体" w:cs="Arial"/>
          <w:kern w:val="0"/>
          <w:szCs w:val="21"/>
        </w:rPr>
      </w:pPr>
      <w:r>
        <w:rPr>
          <w:rFonts w:hint="eastAsia" w:ascii="宋体" w:cs="Arial"/>
          <w:kern w:val="0"/>
          <w:szCs w:val="21"/>
        </w:rPr>
        <w:t>注：</w:t>
      </w:r>
      <w:r>
        <w:rPr>
          <w:rFonts w:ascii="宋体" w:cs="Arial"/>
          <w:kern w:val="0"/>
          <w:szCs w:val="21"/>
        </w:rPr>
        <w:t>1</w:t>
      </w:r>
      <w:r>
        <w:rPr>
          <w:rFonts w:hint="eastAsia" w:ascii="宋体" w:cs="Arial"/>
          <w:kern w:val="0"/>
          <w:szCs w:val="21"/>
        </w:rPr>
        <w:t>、以上人员按照本项目招标文件要求需在投标文件中填报。</w:t>
      </w:r>
    </w:p>
    <w:p>
      <w:pPr>
        <w:rPr>
          <w:rFonts w:ascii="宋体" w:cs="Arial"/>
          <w:kern w:val="0"/>
          <w:szCs w:val="21"/>
        </w:rPr>
      </w:pPr>
      <w:r>
        <w:rPr>
          <w:rFonts w:hint="eastAsia" w:ascii="宋体" w:cs="Arial"/>
          <w:kern w:val="0"/>
          <w:szCs w:val="21"/>
        </w:rPr>
        <w:t xml:space="preserve"> </w:t>
      </w:r>
      <w:r>
        <w:rPr>
          <w:rFonts w:ascii="宋体" w:cs="Arial"/>
          <w:kern w:val="0"/>
          <w:szCs w:val="21"/>
        </w:rPr>
        <w:t>2</w:t>
      </w:r>
      <w:r>
        <w:rPr>
          <w:rFonts w:hint="eastAsia" w:ascii="宋体" w:cs="Arial"/>
          <w:kern w:val="0"/>
          <w:szCs w:val="21"/>
        </w:rPr>
        <w:t>、总监理工程师人员登记单位招标人在评标阶段将登陆</w:t>
      </w:r>
      <w:r>
        <w:rPr>
          <w:rFonts w:ascii="宋体" w:cs="Arial"/>
          <w:kern w:val="0"/>
          <w:szCs w:val="21"/>
        </w:rPr>
        <w:t>“</w:t>
      </w:r>
      <w:r>
        <w:rPr>
          <w:rFonts w:hint="eastAsia" w:ascii="宋体" w:cs="Arial"/>
          <w:kern w:val="0"/>
          <w:szCs w:val="21"/>
        </w:rPr>
        <w:t>公路建设市场信用信息管理系统</w:t>
      </w:r>
      <w:r>
        <w:rPr>
          <w:rFonts w:ascii="宋体" w:cs="Arial"/>
          <w:kern w:val="0"/>
          <w:szCs w:val="21"/>
        </w:rPr>
        <w:t>”</w:t>
      </w:r>
      <w:r>
        <w:rPr>
          <w:rFonts w:hint="eastAsia" w:ascii="宋体" w:cs="Arial"/>
          <w:kern w:val="0"/>
          <w:szCs w:val="21"/>
        </w:rPr>
        <w:t>网站进行核实。</w:t>
      </w:r>
    </w:p>
    <w:p>
      <w:pPr>
        <w:pStyle w:val="3"/>
        <w:rPr>
          <w:bCs/>
          <w:szCs w:val="24"/>
        </w:rPr>
      </w:pPr>
      <w:bookmarkStart w:id="4" w:name="_Toc510363132"/>
      <w:bookmarkStart w:id="5" w:name="_Toc510363009"/>
      <w:bookmarkStart w:id="6" w:name="_Toc510362799"/>
      <w:bookmarkStart w:id="7" w:name="_Toc510362926"/>
      <w:r>
        <w:rPr>
          <w:rFonts w:hint="eastAsia"/>
          <w:bCs/>
          <w:szCs w:val="24"/>
        </w:rPr>
        <w:t>附件2：评标办法</w:t>
      </w:r>
      <w:bookmarkEnd w:id="4"/>
      <w:bookmarkEnd w:id="5"/>
      <w:bookmarkEnd w:id="6"/>
      <w:bookmarkEnd w:id="7"/>
    </w:p>
    <w:p>
      <w:pPr>
        <w:pStyle w:val="18"/>
        <w:spacing w:line="276" w:lineRule="auto"/>
        <w:jc w:val="both"/>
      </w:pPr>
      <w:bookmarkStart w:id="8" w:name="_Toc459307890"/>
      <w:bookmarkStart w:id="9" w:name="_Toc509659998"/>
      <w:bookmarkStart w:id="10" w:name="_Toc509660966"/>
      <w:bookmarkStart w:id="11" w:name="_Toc444271617"/>
      <w:bookmarkStart w:id="12" w:name="_Toc502992691"/>
      <w:bookmarkStart w:id="13" w:name="_Toc444088432"/>
      <w:bookmarkStart w:id="14" w:name="_Toc450319202"/>
      <w:bookmarkStart w:id="15" w:name="_Toc445382083"/>
      <w:bookmarkStart w:id="16" w:name="_Toc445222503"/>
      <w:r>
        <w:rPr>
          <w:rFonts w:hint="eastAsia"/>
        </w:rPr>
        <w:t xml:space="preserve">                     </w:t>
      </w:r>
      <w:r>
        <w:rPr>
          <w:rFonts w:hint="eastAsia" w:ascii="宋体" w:hAnsi="宋体" w:eastAsia="宋体"/>
          <w:sz w:val="30"/>
          <w:szCs w:val="30"/>
        </w:rPr>
        <w:t>评标办法（综合评估法）</w:t>
      </w:r>
      <w:bookmarkEnd w:id="8"/>
      <w:bookmarkEnd w:id="9"/>
      <w:bookmarkEnd w:id="10"/>
      <w:bookmarkEnd w:id="11"/>
      <w:bookmarkEnd w:id="12"/>
      <w:bookmarkEnd w:id="13"/>
      <w:bookmarkEnd w:id="14"/>
      <w:bookmarkEnd w:id="15"/>
      <w:bookmarkEnd w:id="16"/>
    </w:p>
    <w:p>
      <w:pPr>
        <w:pStyle w:val="2"/>
        <w:snapToGrid w:val="0"/>
        <w:spacing w:before="0" w:after="0" w:line="360" w:lineRule="auto"/>
        <w:rPr>
          <w:rFonts w:ascii="宋体" w:hAnsi="宋体" w:eastAsia="宋体"/>
          <w:kern w:val="0"/>
          <w:sz w:val="24"/>
          <w:szCs w:val="24"/>
        </w:rPr>
      </w:pPr>
      <w:r>
        <w:rPr>
          <w:rFonts w:hint="eastAsia" w:ascii="宋体" w:hAnsi="宋体" w:eastAsia="宋体"/>
          <w:spacing w:val="2"/>
          <w:kern w:val="0"/>
          <w:sz w:val="24"/>
          <w:szCs w:val="24"/>
        </w:rPr>
        <w:t>评标</w:t>
      </w:r>
      <w:r>
        <w:rPr>
          <w:rFonts w:hint="eastAsia" w:ascii="宋体" w:hAnsi="宋体" w:eastAsia="宋体"/>
          <w:kern w:val="0"/>
          <w:sz w:val="24"/>
          <w:szCs w:val="24"/>
        </w:rPr>
        <w:t>办法前附表</w:t>
      </w:r>
    </w:p>
    <w:tbl>
      <w:tblPr>
        <w:tblStyle w:val="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72" w:type="dxa"/>
            <w:vAlign w:val="center"/>
          </w:tcPr>
          <w:p>
            <w:pPr>
              <w:jc w:val="center"/>
              <w:rPr>
                <w:rFonts w:ascii="宋体" w:cs="宋体"/>
                <w:szCs w:val="21"/>
              </w:rPr>
            </w:pPr>
            <w:r>
              <w:rPr>
                <w:rFonts w:hint="eastAsia" w:ascii="宋体" w:hAnsi="宋体" w:cs="宋体"/>
                <w:szCs w:val="21"/>
              </w:rPr>
              <w:t>条款号</w:t>
            </w:r>
          </w:p>
        </w:tc>
        <w:tc>
          <w:tcPr>
            <w:tcW w:w="1275" w:type="dxa"/>
            <w:vAlign w:val="center"/>
          </w:tcPr>
          <w:p>
            <w:pPr>
              <w:jc w:val="center"/>
              <w:rPr>
                <w:rFonts w:ascii="宋体" w:cs="宋体"/>
                <w:szCs w:val="21"/>
              </w:rPr>
            </w:pPr>
            <w:r>
              <w:rPr>
                <w:rFonts w:hint="eastAsia" w:ascii="宋体" w:hAnsi="宋体" w:cs="宋体"/>
                <w:szCs w:val="21"/>
              </w:rPr>
              <w:t>条款名称</w:t>
            </w:r>
          </w:p>
        </w:tc>
        <w:tc>
          <w:tcPr>
            <w:tcW w:w="7272" w:type="dxa"/>
            <w:vAlign w:val="center"/>
          </w:tcPr>
          <w:p>
            <w:pPr>
              <w:jc w:val="center"/>
              <w:rPr>
                <w:rFonts w:asci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cs="宋体"/>
                <w:szCs w:val="21"/>
              </w:rPr>
            </w:pPr>
            <w:r>
              <w:rPr>
                <w:rFonts w:ascii="宋体" w:hAnsi="宋体" w:cs="宋体"/>
                <w:szCs w:val="21"/>
              </w:rPr>
              <w:t>1</w:t>
            </w:r>
          </w:p>
        </w:tc>
        <w:tc>
          <w:tcPr>
            <w:tcW w:w="1275" w:type="dxa"/>
            <w:vAlign w:val="center"/>
          </w:tcPr>
          <w:p>
            <w:pPr>
              <w:jc w:val="center"/>
              <w:rPr>
                <w:rFonts w:ascii="宋体" w:cs="宋体"/>
                <w:szCs w:val="21"/>
              </w:rPr>
            </w:pPr>
            <w:r>
              <w:rPr>
                <w:rFonts w:hint="eastAsia" w:ascii="宋体" w:hAnsi="宋体" w:cs="宋体"/>
                <w:szCs w:val="21"/>
              </w:rPr>
              <w:t>评标办法</w:t>
            </w:r>
          </w:p>
        </w:tc>
        <w:tc>
          <w:tcPr>
            <w:tcW w:w="7272" w:type="dxa"/>
            <w:vAlign w:val="center"/>
          </w:tcPr>
          <w:p>
            <w:pPr>
              <w:spacing w:line="288" w:lineRule="auto"/>
              <w:ind w:firstLine="420" w:firstLineChars="200"/>
              <w:jc w:val="left"/>
              <w:textAlignment w:val="baseline"/>
              <w:rPr>
                <w:rFonts w:ascii="宋体" w:hAnsi="宋体"/>
                <w:sz w:val="20"/>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288" w:lineRule="auto"/>
              <w:ind w:left="205" w:leftChars="97" w:hanging="1"/>
              <w:jc w:val="left"/>
              <w:textAlignment w:val="baseline"/>
              <w:rPr>
                <w:rFonts w:ascii="宋体" w:hAnsi="宋体"/>
                <w:sz w:val="20"/>
              </w:rPr>
            </w:pPr>
            <w:r>
              <w:rPr>
                <w:rFonts w:hint="eastAsia" w:ascii="宋体" w:hAnsi="宋体"/>
              </w:rPr>
              <w:t>（1）评标价低的投标人优先；</w:t>
            </w:r>
          </w:p>
          <w:p>
            <w:pPr>
              <w:spacing w:line="288" w:lineRule="auto"/>
              <w:ind w:left="205" w:leftChars="97" w:hanging="1"/>
              <w:jc w:val="left"/>
              <w:textAlignment w:val="baseline"/>
              <w:rPr>
                <w:rFonts w:ascii="宋体" w:hAnsi="宋体"/>
                <w:sz w:val="20"/>
              </w:rPr>
            </w:pPr>
            <w:r>
              <w:rPr>
                <w:rFonts w:hint="eastAsia" w:ascii="宋体" w:hAnsi="宋体"/>
              </w:rPr>
              <w:t>（2）商务和技术得分较高的投标人优先；</w:t>
            </w:r>
          </w:p>
          <w:p>
            <w:pPr>
              <w:spacing w:line="288" w:lineRule="auto"/>
              <w:ind w:firstLine="210" w:firstLineChars="100"/>
              <w:jc w:val="left"/>
              <w:textAlignment w:val="baseline"/>
              <w:rPr>
                <w:rFonts w:ascii="宋体" w:hAnsi="宋体"/>
                <w:spacing w:val="-4"/>
                <w:sz w:val="20"/>
                <w:szCs w:val="21"/>
              </w:rPr>
            </w:pPr>
            <w:r>
              <w:rPr>
                <w:rFonts w:hint="eastAsia" w:ascii="宋体" w:hAnsi="宋体"/>
              </w:rPr>
              <w:t>（3）投标人满足资格审查条件(业绩最低条件)要求的业绩累计金额高的优先</w:t>
            </w:r>
            <w:r>
              <w:rPr>
                <w:rFonts w:hint="eastAsia" w:ascii="宋体" w:hAnsi="宋体"/>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cs="宋体"/>
                <w:szCs w:val="21"/>
              </w:rPr>
            </w:pPr>
            <w:r>
              <w:rPr>
                <w:rFonts w:ascii="宋体" w:hAnsi="宋体" w:cs="宋体"/>
                <w:szCs w:val="21"/>
              </w:rPr>
              <w:t>2.1.1</w:t>
            </w:r>
          </w:p>
          <w:p>
            <w:pPr>
              <w:jc w:val="center"/>
              <w:rPr>
                <w:rFonts w:ascii="宋体" w:hAnsi="宋体" w:cs="宋体"/>
                <w:szCs w:val="21"/>
              </w:rPr>
            </w:pPr>
            <w:r>
              <w:rPr>
                <w:rFonts w:ascii="宋体" w:hAnsi="宋体" w:cs="宋体"/>
                <w:szCs w:val="21"/>
              </w:rPr>
              <w:t>2.1.3</w:t>
            </w:r>
          </w:p>
        </w:tc>
        <w:tc>
          <w:tcPr>
            <w:tcW w:w="1275" w:type="dxa"/>
            <w:vAlign w:val="center"/>
          </w:tcPr>
          <w:p>
            <w:pPr>
              <w:jc w:val="center"/>
              <w:rPr>
                <w:rFonts w:ascii="宋体" w:cs="宋体"/>
                <w:szCs w:val="21"/>
              </w:rPr>
            </w:pPr>
            <w:r>
              <w:rPr>
                <w:rFonts w:hint="eastAsia" w:ascii="宋体" w:hAnsi="宋体" w:cs="宋体"/>
                <w:szCs w:val="21"/>
              </w:rPr>
              <w:t>形式评审与响应性评审标准</w:t>
            </w:r>
          </w:p>
        </w:tc>
        <w:tc>
          <w:tcPr>
            <w:tcW w:w="7272" w:type="dxa"/>
            <w:vAlign w:val="center"/>
          </w:tcPr>
          <w:p>
            <w:pPr>
              <w:jc w:val="left"/>
              <w:rPr>
                <w:rFonts w:ascii="宋体"/>
                <w:b/>
                <w:szCs w:val="21"/>
              </w:rPr>
            </w:pPr>
            <w:r>
              <w:rPr>
                <w:rFonts w:hint="eastAsia" w:ascii="宋体" w:hAnsi="宋体"/>
                <w:b/>
                <w:szCs w:val="21"/>
              </w:rPr>
              <w:t>第一个信封（商务及技术文件）评审标准：</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rPr>
              <w:t>投标文件按照招标文件规定的格式、内容填写，字迹清晰可辨。</w:t>
            </w:r>
          </w:p>
          <w:p>
            <w:pPr>
              <w:textAlignment w:val="baseline"/>
              <w:rPr>
                <w:rFonts w:ascii="宋体" w:hAnsi="宋体"/>
                <w:sz w:val="20"/>
              </w:rPr>
            </w:pPr>
            <w:r>
              <w:rPr>
                <w:rFonts w:hint="eastAsia" w:ascii="宋体" w:hAnsi="宋体"/>
              </w:rPr>
              <w:t>a．投标函按招标文件规定填报了项目名称、标段、补遗书编号（如有）、质量要求、安全目标、监理服务期限、总监理工程师相关信息；</w:t>
            </w:r>
          </w:p>
          <w:p>
            <w:pPr>
              <w:textAlignment w:val="baseline"/>
              <w:rPr>
                <w:rFonts w:ascii="宋体" w:hAnsi="宋体"/>
                <w:sz w:val="20"/>
              </w:rPr>
            </w:pPr>
            <w:r>
              <w:rPr>
                <w:rFonts w:hint="eastAsia" w:ascii="宋体" w:hAnsi="宋体"/>
              </w:rPr>
              <w:t>b．投标文件组成齐全完整，内容均按规定填写。</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投标文件上法定代表人或其授权代理人的签字、投标人的单位章盖章齐全，符合招标文件规定。</w:t>
            </w:r>
          </w:p>
          <w:p>
            <w:pPr>
              <w:textAlignment w:val="baseline"/>
              <w:rPr>
                <w:rFonts w:ascii="宋体" w:hAnsi="宋体"/>
                <w:sz w:val="20"/>
              </w:rPr>
            </w:pPr>
            <w:r>
              <w:rPr>
                <w:rFonts w:hint="eastAsia" w:ascii="宋体" w:hAnsi="宋体"/>
              </w:rPr>
              <w:t>（3）</w:t>
            </w:r>
            <w:r>
              <w:rPr>
                <w:rFonts w:hint="eastAsia" w:ascii="宋体" w:hAnsi="宋体" w:cs="宋体"/>
                <w:kern w:val="0"/>
                <w:szCs w:val="21"/>
              </w:rPr>
              <w:t>投标人按照招标文件的规定提供了投标保证金。</w:t>
            </w:r>
          </w:p>
          <w:p>
            <w:pPr>
              <w:jc w:val="left"/>
              <w:textAlignment w:val="baseline"/>
              <w:rPr>
                <w:rFonts w:ascii="宋体" w:hAnsi="宋体" w:cs="宋体"/>
                <w:kern w:val="0"/>
                <w:sz w:val="20"/>
                <w:szCs w:val="21"/>
              </w:rPr>
            </w:pPr>
            <w:r>
              <w:rPr>
                <w:rFonts w:hint="eastAsia" w:ascii="宋体" w:hAnsi="宋体" w:cs="宋体"/>
                <w:kern w:val="0"/>
                <w:szCs w:val="21"/>
              </w:rPr>
              <w:t>a.投标保证金金额符合招标文件规定的金额，且投标保证金有效期不少于投标有效期；</w:t>
            </w:r>
          </w:p>
          <w:p>
            <w:pPr>
              <w:jc w:val="left"/>
              <w:textAlignment w:val="baseline"/>
              <w:rPr>
                <w:rFonts w:ascii="宋体" w:hAnsi="宋体" w:cs="宋体"/>
                <w:kern w:val="0"/>
                <w:sz w:val="20"/>
                <w:szCs w:val="21"/>
              </w:rPr>
            </w:pPr>
            <w:r>
              <w:rPr>
                <w:rFonts w:hint="eastAsia" w:ascii="宋体" w:hAnsi="宋体" w:cs="宋体"/>
                <w:kern w:val="0"/>
                <w:szCs w:val="21"/>
              </w:rPr>
              <w:t>b.若投标保证金采用电汇或转账形式提交，投标人应在递交投标文件截止时间之前，将投标保证金由投标人的基本账户转入招标人指定账户；</w:t>
            </w:r>
          </w:p>
          <w:p>
            <w:pPr>
              <w:jc w:val="left"/>
              <w:textAlignment w:val="baseline"/>
              <w:rPr>
                <w:rFonts w:ascii="宋体" w:hAnsi="宋体" w:cs="宋体"/>
                <w:kern w:val="0"/>
                <w:szCs w:val="21"/>
              </w:rPr>
            </w:pPr>
            <w:r>
              <w:rPr>
                <w:rFonts w:hint="eastAsia" w:ascii="宋体" w:hAnsi="宋体" w:cs="宋体"/>
                <w:kern w:val="0"/>
                <w:szCs w:val="21"/>
              </w:rPr>
              <w:t>c.若投标保证金采用银行保函形式提交，银行保函的格式、开具保函的银行均满足招标文件要求，且在递交投标文件截止时间之前向招标人提交了银行保函原件。</w:t>
            </w:r>
          </w:p>
          <w:p>
            <w:pPr>
              <w:snapToGrid w:val="0"/>
              <w:spacing w:line="36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）投标人法定代表人授权委托代理人签署投标文件的，须提交授权委托书；符合招标文件规定。</w:t>
            </w:r>
          </w:p>
          <w:p>
            <w:pPr>
              <w:snapToGrid w:val="0"/>
              <w:spacing w:line="360" w:lineRule="exact"/>
              <w:rPr>
                <w:rFonts w:ascii="宋体" w:hAnsi="宋体"/>
                <w:szCs w:val="21"/>
              </w:rPr>
            </w:pPr>
            <w:r>
              <w:rPr>
                <w:rFonts w:hint="eastAsia" w:ascii="宋体" w:hAnsi="宋体"/>
                <w:szCs w:val="21"/>
              </w:rPr>
              <w:t>投标人法定代表人若亲自签署投标文件的，提供了法定代表人身份证明；符合招标文件规定。</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）投标人未以联合体形式投标。</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）投标人未对本项目提出分包计划；</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）同一投标人未提交两个以上不同的投标文件。</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）投标文件中未出现有关投标报价的内容。</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）投标文件载明的招标项目完成期限符合招标文件规定。</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）投标文件对招标文件的实质性要求和条件作出响应。</w:t>
            </w:r>
          </w:p>
          <w:p>
            <w:pPr>
              <w:jc w:val="left"/>
              <w:textAlignment w:val="baseline"/>
              <w:rPr>
                <w:rFonts w:ascii="宋体" w:hAnsi="宋体" w:cs="宋体"/>
                <w:kern w:val="0"/>
                <w:sz w:val="20"/>
                <w:szCs w:val="21"/>
              </w:rPr>
            </w:pPr>
            <w:r>
              <w:rPr>
                <w:rFonts w:hint="eastAsia" w:ascii="宋体" w:hAnsi="宋体" w:cs="宋体"/>
                <w:kern w:val="0"/>
                <w:szCs w:val="21"/>
              </w:rPr>
              <w:t>（1</w:t>
            </w:r>
            <w:r>
              <w:rPr>
                <w:rFonts w:ascii="宋体" w:hAnsi="宋体" w:cs="宋体"/>
                <w:kern w:val="0"/>
                <w:szCs w:val="21"/>
              </w:rPr>
              <w:t>1</w:t>
            </w:r>
            <w:r>
              <w:rPr>
                <w:rFonts w:hint="eastAsia" w:ascii="宋体" w:hAnsi="宋体" w:cs="宋体"/>
                <w:kern w:val="0"/>
                <w:szCs w:val="21"/>
              </w:rPr>
              <w:t>）权利义务符合招标文件规定：</w:t>
            </w:r>
          </w:p>
          <w:p>
            <w:pPr>
              <w:jc w:val="left"/>
              <w:textAlignment w:val="baseline"/>
              <w:rPr>
                <w:rFonts w:ascii="宋体" w:hAnsi="宋体" w:cs="宋体"/>
                <w:kern w:val="0"/>
                <w:sz w:val="20"/>
                <w:szCs w:val="21"/>
              </w:rPr>
            </w:pPr>
            <w:r>
              <w:rPr>
                <w:rFonts w:hint="eastAsia" w:ascii="宋体" w:hAnsi="宋体" w:cs="宋体"/>
                <w:kern w:val="0"/>
                <w:szCs w:val="21"/>
              </w:rPr>
              <w:t>a.投标人应接受招标文件规定的风险划分原则，未提出新的风险划分办法；</w:t>
            </w:r>
          </w:p>
          <w:p>
            <w:pPr>
              <w:jc w:val="left"/>
              <w:textAlignment w:val="baseline"/>
              <w:rPr>
                <w:rFonts w:ascii="宋体" w:hAnsi="宋体" w:cs="宋体"/>
                <w:kern w:val="0"/>
                <w:sz w:val="20"/>
                <w:szCs w:val="21"/>
              </w:rPr>
            </w:pPr>
            <w:r>
              <w:rPr>
                <w:rFonts w:hint="eastAsia" w:ascii="宋体" w:hAnsi="宋体" w:cs="宋体"/>
                <w:kern w:val="0"/>
                <w:szCs w:val="21"/>
              </w:rPr>
              <w:t>b.投标人未增加发包人的责任范围，或减少投标人义务；</w:t>
            </w:r>
          </w:p>
          <w:p>
            <w:pPr>
              <w:jc w:val="left"/>
              <w:textAlignment w:val="baseline"/>
              <w:rPr>
                <w:rFonts w:ascii="宋体" w:hAnsi="宋体" w:cs="宋体"/>
                <w:kern w:val="0"/>
                <w:sz w:val="20"/>
                <w:szCs w:val="21"/>
              </w:rPr>
            </w:pPr>
            <w:r>
              <w:rPr>
                <w:rFonts w:hint="eastAsia" w:ascii="宋体" w:hAnsi="宋体" w:cs="宋体"/>
                <w:kern w:val="0"/>
                <w:szCs w:val="21"/>
              </w:rPr>
              <w:t>c.投标人未提出不同的支付办法；</w:t>
            </w:r>
          </w:p>
          <w:p>
            <w:pPr>
              <w:jc w:val="left"/>
              <w:textAlignment w:val="baseline"/>
              <w:rPr>
                <w:rFonts w:ascii="宋体" w:hAnsi="宋体" w:cs="宋体"/>
                <w:kern w:val="0"/>
                <w:sz w:val="20"/>
                <w:szCs w:val="21"/>
              </w:rPr>
            </w:pPr>
            <w:r>
              <w:rPr>
                <w:rFonts w:hint="eastAsia" w:ascii="宋体" w:hAnsi="宋体" w:cs="宋体"/>
                <w:kern w:val="0"/>
                <w:szCs w:val="21"/>
              </w:rPr>
              <w:t>d.投标人对合同纠纷、事故处理办法未提出异议；</w:t>
            </w:r>
          </w:p>
          <w:p>
            <w:pPr>
              <w:jc w:val="left"/>
              <w:textAlignment w:val="baseline"/>
              <w:rPr>
                <w:rFonts w:ascii="宋体" w:hAnsi="宋体" w:cs="宋体"/>
                <w:kern w:val="0"/>
                <w:sz w:val="20"/>
                <w:szCs w:val="21"/>
              </w:rPr>
            </w:pPr>
            <w:r>
              <w:rPr>
                <w:rFonts w:hint="eastAsia" w:ascii="宋体" w:hAnsi="宋体" w:cs="宋体"/>
                <w:kern w:val="0"/>
                <w:szCs w:val="21"/>
              </w:rPr>
              <w:t>e.投标人在投标活动中无欺诈行为；</w:t>
            </w:r>
          </w:p>
          <w:p>
            <w:pPr>
              <w:jc w:val="left"/>
              <w:textAlignment w:val="baseline"/>
              <w:rPr>
                <w:rFonts w:ascii="宋体" w:hAnsi="宋体" w:cs="宋体"/>
                <w:kern w:val="0"/>
                <w:sz w:val="20"/>
                <w:szCs w:val="21"/>
              </w:rPr>
            </w:pPr>
            <w:r>
              <w:rPr>
                <w:rFonts w:hint="eastAsia" w:ascii="宋体" w:hAnsi="宋体" w:cs="宋体"/>
                <w:kern w:val="0"/>
                <w:szCs w:val="21"/>
              </w:rPr>
              <w:t xml:space="preserve">f.投标人未对合同条款有重要保留。 </w:t>
            </w:r>
          </w:p>
          <w:p>
            <w:pPr>
              <w:jc w:val="left"/>
              <w:rPr>
                <w:rFonts w:ascii="宋体" w:hAnsi="宋体"/>
                <w:szCs w:val="21"/>
              </w:rPr>
            </w:pPr>
            <w:r>
              <w:rPr>
                <w:rFonts w:hint="eastAsia" w:ascii="宋体" w:hAnsi="宋体"/>
                <w:szCs w:val="21"/>
              </w:rPr>
              <w:t>（12）投标人名称与营业执照、资质证书、基本账户开户许可证（或基本存</w:t>
            </w:r>
          </w:p>
          <w:p>
            <w:pPr>
              <w:jc w:val="left"/>
              <w:rPr>
                <w:rFonts w:ascii="宋体" w:hAnsi="宋体"/>
                <w:szCs w:val="21"/>
              </w:rPr>
            </w:pPr>
            <w:r>
              <w:rPr>
                <w:rFonts w:hint="eastAsia" w:ascii="宋体" w:hAnsi="宋体"/>
                <w:szCs w:val="21"/>
              </w:rPr>
              <w:t>款账户信息）一致，如企业名称有变更的，应提供企业法人营业执照和资质</w:t>
            </w:r>
          </w:p>
          <w:p>
            <w:pPr>
              <w:jc w:val="left"/>
              <w:rPr>
                <w:rFonts w:ascii="宋体" w:hAnsi="宋体"/>
                <w:szCs w:val="21"/>
              </w:rPr>
            </w:pPr>
            <w:r>
              <w:rPr>
                <w:rFonts w:hint="eastAsia" w:ascii="宋体" w:hAnsi="宋体"/>
                <w:szCs w:val="21"/>
              </w:rPr>
              <w:t>证书的副本变更记录或相关部门的合法批件扫描件</w:t>
            </w:r>
          </w:p>
          <w:p>
            <w:pPr>
              <w:ind w:firstLine="420" w:firstLineChars="200"/>
              <w:jc w:val="left"/>
              <w:rPr>
                <w:rFonts w:ascii="宋体"/>
                <w:szCs w:val="21"/>
              </w:rPr>
            </w:pPr>
          </w:p>
          <w:p>
            <w:pPr>
              <w:jc w:val="left"/>
              <w:rPr>
                <w:rFonts w:ascii="宋体"/>
                <w:b/>
                <w:szCs w:val="21"/>
              </w:rPr>
            </w:pPr>
            <w:r>
              <w:rPr>
                <w:rFonts w:hint="eastAsia" w:ascii="宋体" w:hAnsi="宋体"/>
                <w:b/>
                <w:szCs w:val="21"/>
              </w:rPr>
              <w:t>第二个信封（报价文件）评审标准：</w:t>
            </w:r>
          </w:p>
          <w:p>
            <w:pPr>
              <w:jc w:val="left"/>
              <w:textAlignment w:val="baseline"/>
              <w:rPr>
                <w:rFonts w:ascii="宋体" w:hAnsi="宋体"/>
                <w:bCs/>
                <w:sz w:val="20"/>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ascii="宋体" w:hAnsi="宋体"/>
                <w:bCs/>
              </w:rPr>
              <w:t>投标文件按照招标文件规定的格式、内容填写，字迹清晰可辨，内容齐全完整：</w:t>
            </w:r>
          </w:p>
          <w:p>
            <w:pPr>
              <w:textAlignment w:val="baseline"/>
              <w:rPr>
                <w:rFonts w:ascii="宋体" w:hAnsi="宋体"/>
                <w:bCs/>
                <w:sz w:val="20"/>
              </w:rPr>
            </w:pPr>
            <w:r>
              <w:rPr>
                <w:rFonts w:hint="eastAsia" w:ascii="宋体" w:hAnsi="宋体"/>
                <w:bCs/>
              </w:rPr>
              <w:t>a．投标函按招标文件规定填报了项目名称、标段、补遗书编号（如有）</w:t>
            </w:r>
            <w:r>
              <w:rPr>
                <w:rFonts w:hint="eastAsia" w:ascii="宋体" w:hAnsi="宋体"/>
              </w:rPr>
              <w:t>、</w:t>
            </w:r>
            <w:r>
              <w:rPr>
                <w:rFonts w:hint="eastAsia" w:ascii="宋体" w:hAnsi="宋体"/>
                <w:bCs/>
              </w:rPr>
              <w:t>投标总报价、施工阶段监理服务费、交工验收与缺陷责任期阶段监理服务费等；</w:t>
            </w:r>
          </w:p>
          <w:p>
            <w:pPr>
              <w:textAlignment w:val="baseline"/>
              <w:rPr>
                <w:rFonts w:ascii="宋体" w:hAnsi="宋体"/>
                <w:bCs/>
                <w:sz w:val="20"/>
              </w:rPr>
            </w:pPr>
            <w:r>
              <w:rPr>
                <w:rFonts w:hint="eastAsia" w:ascii="宋体" w:hAnsi="宋体"/>
                <w:bCs/>
              </w:rPr>
              <w:t>b．投标文件组成齐全完整，内容均按规定填写。</w:t>
            </w:r>
          </w:p>
          <w:p>
            <w:pPr>
              <w:jc w:val="left"/>
              <w:textAlignment w:val="baseline"/>
              <w:rPr>
                <w:rFonts w:ascii="宋体" w:hAnsi="宋体" w:cs="宋体"/>
                <w:kern w:val="0"/>
                <w:sz w:val="2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hint="eastAsia" w:ascii="宋体" w:hAnsi="宋体"/>
                <w:szCs w:val="21"/>
              </w:rPr>
              <w:t>投标文件上法定代表人或其授权代理人的签字、投标人的单位章盖章齐全，符合招标文件规定。</w:t>
            </w:r>
          </w:p>
          <w:p>
            <w:pPr>
              <w:jc w:val="left"/>
              <w:textAlignment w:val="baseline"/>
              <w:rPr>
                <w:rFonts w:ascii="宋体" w:hAnsi="宋体" w:cs="宋体"/>
                <w:kern w:val="0"/>
                <w:sz w:val="20"/>
                <w:szCs w:val="21"/>
              </w:rPr>
            </w:pPr>
            <w:r>
              <w:rPr>
                <w:rFonts w:hint="eastAsia" w:ascii="宋体" w:hAnsi="宋体"/>
                <w:bCs/>
              </w:rPr>
              <w:t>（3）</w:t>
            </w:r>
            <w:r>
              <w:rPr>
                <w:rFonts w:hint="eastAsia" w:ascii="宋体" w:hAnsi="宋体"/>
                <w:b/>
                <w:bCs/>
              </w:rPr>
              <w:t>投标报价未超过招标文件设定的最高投标限价（各分项投标报价均未超过招标文件设定的最高投标限价。）</w:t>
            </w:r>
          </w:p>
          <w:p>
            <w:pPr>
              <w:jc w:val="left"/>
              <w:textAlignment w:val="baseline"/>
              <w:rPr>
                <w:rFonts w:ascii="宋体" w:hAnsi="宋体" w:cs="宋体"/>
                <w:kern w:val="0"/>
                <w:sz w:val="20"/>
                <w:szCs w:val="21"/>
              </w:rPr>
            </w:pPr>
            <w:r>
              <w:rPr>
                <w:rFonts w:hint="eastAsia" w:ascii="宋体" w:hAnsi="宋体" w:cs="宋体"/>
                <w:kern w:val="0"/>
                <w:szCs w:val="21"/>
              </w:rPr>
              <w:t>（4）投标报价的大写金额能够确定具体数值。</w:t>
            </w:r>
          </w:p>
          <w:p>
            <w:pPr>
              <w:jc w:val="left"/>
              <w:rPr>
                <w:rFonts w:ascii="宋体" w:hAnsi="宋体" w:cs="宋体"/>
                <w:kern w:val="0"/>
                <w:szCs w:val="21"/>
              </w:rPr>
            </w:pPr>
            <w:r>
              <w:rPr>
                <w:rFonts w:hint="eastAsia" w:ascii="宋体" w:hAnsi="宋体" w:cs="宋体"/>
                <w:kern w:val="0"/>
                <w:szCs w:val="21"/>
              </w:rPr>
              <w:t>（5）同一投标人未提交两个以上不同的投标报价。</w:t>
            </w:r>
          </w:p>
          <w:p>
            <w:pPr>
              <w:jc w:val="left"/>
              <w:rPr>
                <w:rFonts w:ascii="宋体"/>
                <w:szCs w:val="21"/>
              </w:rPr>
            </w:pPr>
            <w:r>
              <w:rPr>
                <w:rFonts w:hint="eastAsia" w:ascii="宋体"/>
                <w:szCs w:val="21"/>
              </w:rPr>
              <w:t>（6）投标文件中交工验收与缺陷责任期阶段监理服务费报价不低于监理服务总费用的3%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cs="宋体"/>
                <w:szCs w:val="21"/>
              </w:rPr>
            </w:pPr>
            <w:r>
              <w:rPr>
                <w:rFonts w:ascii="宋体" w:hAnsi="宋体" w:cs="宋体"/>
                <w:szCs w:val="21"/>
              </w:rPr>
              <w:t>2.1.2</w:t>
            </w:r>
          </w:p>
        </w:tc>
        <w:tc>
          <w:tcPr>
            <w:tcW w:w="1275" w:type="dxa"/>
            <w:vAlign w:val="center"/>
          </w:tcPr>
          <w:p>
            <w:pPr>
              <w:jc w:val="center"/>
              <w:rPr>
                <w:rFonts w:ascii="宋体" w:cs="宋体"/>
                <w:szCs w:val="21"/>
              </w:rPr>
            </w:pPr>
            <w:r>
              <w:rPr>
                <w:rFonts w:hint="eastAsia" w:ascii="宋体" w:hAnsi="宋体" w:cs="宋体"/>
                <w:szCs w:val="21"/>
              </w:rPr>
              <w:t>资格评审标准</w:t>
            </w:r>
          </w:p>
        </w:tc>
        <w:tc>
          <w:tcPr>
            <w:tcW w:w="7272" w:type="dxa"/>
            <w:vAlign w:val="center"/>
          </w:tcPr>
          <w:p>
            <w:pPr>
              <w:textAlignment w:val="baseline"/>
              <w:rPr>
                <w:rFonts w:ascii="宋体" w:hAnsi="宋体"/>
                <w:sz w:val="20"/>
              </w:rPr>
            </w:pPr>
            <w:r>
              <w:rPr>
                <w:rFonts w:hint="eastAsia" w:ascii="宋体" w:hAnsi="宋体"/>
              </w:rPr>
              <w:t>1）投标人具备有效的营业执照、组织机构代码证（三证合一或五证合一的除外）、监理资质证书和</w:t>
            </w:r>
            <w:r>
              <w:rPr>
                <w:rFonts w:hint="eastAsia" w:ascii="宋体" w:hAnsi="宋体" w:cs="宋体"/>
                <w:szCs w:val="21"/>
              </w:rPr>
              <w:t>基本账户开户许可证（或基本存款账户信息）</w:t>
            </w:r>
            <w:r>
              <w:rPr>
                <w:rFonts w:hint="eastAsia" w:ascii="宋体" w:hAnsi="宋体"/>
              </w:rPr>
              <w:t>；</w:t>
            </w:r>
          </w:p>
          <w:p>
            <w:pPr>
              <w:textAlignment w:val="baseline"/>
              <w:rPr>
                <w:rFonts w:ascii="宋体" w:hAnsi="宋体"/>
                <w:sz w:val="20"/>
              </w:rPr>
            </w:pPr>
            <w:r>
              <w:rPr>
                <w:rFonts w:hint="eastAsia" w:ascii="宋体" w:hAnsi="宋体"/>
              </w:rPr>
              <w:t>（2）投标人的资质等级符合招标文件规定。</w:t>
            </w:r>
          </w:p>
          <w:p>
            <w:pPr>
              <w:textAlignment w:val="baseline"/>
              <w:rPr>
                <w:rFonts w:ascii="宋体" w:hAnsi="宋体"/>
                <w:sz w:val="20"/>
              </w:rPr>
            </w:pPr>
            <w:r>
              <w:rPr>
                <w:rFonts w:hint="eastAsia" w:ascii="宋体" w:hAnsi="宋体"/>
              </w:rPr>
              <w:t>（3）投标人的类似项目业绩符合招标文件的规定。</w:t>
            </w:r>
          </w:p>
          <w:p>
            <w:pPr>
              <w:textAlignment w:val="baseline"/>
              <w:rPr>
                <w:rFonts w:ascii="宋体" w:hAnsi="宋体"/>
                <w:sz w:val="20"/>
              </w:rPr>
            </w:pPr>
            <w:r>
              <w:rPr>
                <w:rFonts w:hint="eastAsia" w:ascii="宋体" w:hAnsi="宋体"/>
              </w:rPr>
              <w:t>（4）投标人的信誉符合招标文件规定。</w:t>
            </w:r>
          </w:p>
          <w:p>
            <w:pPr>
              <w:textAlignment w:val="baseline"/>
              <w:rPr>
                <w:rFonts w:ascii="宋体" w:hAnsi="宋体"/>
                <w:sz w:val="20"/>
              </w:rPr>
            </w:pPr>
            <w:r>
              <w:rPr>
                <w:rFonts w:hint="eastAsia" w:ascii="宋体" w:hAnsi="宋体"/>
              </w:rPr>
              <w:t>（5）投标人的总监理工程师资格符合招标文件规定。</w:t>
            </w:r>
          </w:p>
          <w:p>
            <w:pPr>
              <w:textAlignment w:val="baseline"/>
              <w:rPr>
                <w:rFonts w:ascii="宋体" w:hAnsi="宋体"/>
                <w:sz w:val="20"/>
              </w:rPr>
            </w:pPr>
            <w:r>
              <w:rPr>
                <w:rFonts w:hint="eastAsia" w:ascii="宋体" w:hAnsi="宋体"/>
              </w:rPr>
              <w:t>（6）投标人不存在第二章“投标人须知”第1.4.3项或1.4.4项规定的任何一种情形。</w:t>
            </w:r>
          </w:p>
          <w:p>
            <w:pPr>
              <w:rPr>
                <w:rFonts w:ascii="宋体" w:cs="宋体"/>
                <w:szCs w:val="21"/>
              </w:rPr>
            </w:pPr>
            <w:r>
              <w:rPr>
                <w:rFonts w:hint="eastAsia" w:ascii="宋体" w:hAnsi="宋体"/>
              </w:rPr>
              <w:t>（7）</w:t>
            </w:r>
            <w:r>
              <w:rPr>
                <w:rFonts w:hint="eastAsia" w:ascii="宋体" w:hAnsi="宋体"/>
                <w:szCs w:val="21"/>
              </w:rPr>
              <w:t>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cs="宋体"/>
                <w:szCs w:val="21"/>
              </w:rPr>
            </w:pPr>
            <w:r>
              <w:rPr>
                <w:rFonts w:ascii="宋体" w:hAnsi="宋体" w:cs="宋体"/>
                <w:szCs w:val="21"/>
              </w:rPr>
              <w:t>2.2.1</w:t>
            </w:r>
          </w:p>
        </w:tc>
        <w:tc>
          <w:tcPr>
            <w:tcW w:w="1275" w:type="dxa"/>
            <w:vAlign w:val="center"/>
          </w:tcPr>
          <w:p>
            <w:pPr>
              <w:jc w:val="center"/>
              <w:rPr>
                <w:rFonts w:ascii="宋体" w:cs="宋体"/>
                <w:szCs w:val="21"/>
              </w:rPr>
            </w:pPr>
            <w:r>
              <w:rPr>
                <w:rFonts w:hint="eastAsia" w:ascii="宋体" w:hAnsi="宋体" w:cs="宋体"/>
                <w:szCs w:val="21"/>
              </w:rPr>
              <w:t>分值构成（总分</w:t>
            </w:r>
            <w:r>
              <w:rPr>
                <w:rFonts w:ascii="宋体" w:hAnsi="宋体" w:cs="宋体"/>
                <w:szCs w:val="21"/>
              </w:rPr>
              <w:t>100</w:t>
            </w:r>
            <w:r>
              <w:rPr>
                <w:rFonts w:hint="eastAsia" w:ascii="宋体" w:hAnsi="宋体" w:cs="宋体"/>
                <w:szCs w:val="21"/>
              </w:rPr>
              <w:t>分）</w:t>
            </w:r>
          </w:p>
        </w:tc>
        <w:tc>
          <w:tcPr>
            <w:tcW w:w="7272" w:type="dxa"/>
            <w:vAlign w:val="center"/>
          </w:tcPr>
          <w:p>
            <w:pPr>
              <w:rPr>
                <w:rFonts w:ascii="宋体" w:cs="宋体"/>
                <w:szCs w:val="21"/>
              </w:rPr>
            </w:pPr>
            <w:r>
              <w:rPr>
                <w:rFonts w:hint="eastAsia" w:ascii="宋体" w:hAnsi="宋体" w:cs="宋体"/>
                <w:szCs w:val="21"/>
              </w:rPr>
              <w:t>第一个信封（商务及技术文件）评分分值构成；</w:t>
            </w:r>
          </w:p>
          <w:p>
            <w:pPr>
              <w:rPr>
                <w:rFonts w:ascii="宋体" w:cs="宋体"/>
                <w:szCs w:val="21"/>
              </w:rPr>
            </w:pPr>
            <w:r>
              <w:rPr>
                <w:rFonts w:hint="eastAsia" w:ascii="宋体" w:hAnsi="宋体" w:cs="宋体"/>
                <w:szCs w:val="21"/>
              </w:rPr>
              <w:t>技术建议书：</w:t>
            </w:r>
            <w:r>
              <w:rPr>
                <w:rFonts w:ascii="宋体" w:hAnsi="宋体" w:cs="宋体"/>
                <w:szCs w:val="21"/>
              </w:rPr>
              <w:t xml:space="preserve">   </w:t>
            </w:r>
            <w:r>
              <w:rPr>
                <w:rFonts w:hint="eastAsia" w:ascii="宋体" w:hAnsi="宋体" w:cs="宋体"/>
                <w:szCs w:val="21"/>
              </w:rPr>
              <w:t xml:space="preserve">  35分</w:t>
            </w:r>
          </w:p>
          <w:p>
            <w:pPr>
              <w:rPr>
                <w:rFonts w:ascii="宋体" w:cs="宋体"/>
                <w:szCs w:val="21"/>
              </w:rPr>
            </w:pPr>
            <w:r>
              <w:rPr>
                <w:rFonts w:hint="eastAsia" w:ascii="宋体" w:hAnsi="宋体" w:cs="宋体"/>
                <w:szCs w:val="21"/>
              </w:rPr>
              <w:t>主要人员：</w:t>
            </w:r>
            <w:r>
              <w:rPr>
                <w:rFonts w:ascii="宋体" w:hAnsi="宋体" w:cs="宋体"/>
                <w:szCs w:val="21"/>
              </w:rPr>
              <w:t xml:space="preserve">       </w:t>
            </w:r>
            <w:r>
              <w:rPr>
                <w:rFonts w:hint="eastAsia" w:ascii="宋体" w:hAnsi="宋体" w:cs="宋体"/>
                <w:szCs w:val="21"/>
              </w:rPr>
              <w:t>30分</w:t>
            </w:r>
          </w:p>
          <w:p>
            <w:pPr>
              <w:rPr>
                <w:rFonts w:ascii="宋体" w:cs="宋体"/>
                <w:szCs w:val="21"/>
              </w:rPr>
            </w:pPr>
            <w:r>
              <w:rPr>
                <w:rFonts w:hint="eastAsia" w:ascii="宋体" w:hAnsi="宋体" w:cs="宋体"/>
                <w:szCs w:val="21"/>
              </w:rPr>
              <w:t>业绩：</w:t>
            </w:r>
            <w:r>
              <w:rPr>
                <w:rFonts w:ascii="宋体" w:hAnsi="宋体" w:cs="宋体"/>
                <w:szCs w:val="21"/>
              </w:rPr>
              <w:t xml:space="preserve">           </w:t>
            </w:r>
            <w:r>
              <w:rPr>
                <w:rFonts w:hint="eastAsia" w:ascii="宋体" w:hAnsi="宋体" w:cs="宋体"/>
                <w:szCs w:val="21"/>
              </w:rPr>
              <w:t>25分</w:t>
            </w:r>
          </w:p>
          <w:p>
            <w:pPr>
              <w:rPr>
                <w:rFonts w:ascii="宋体" w:cs="宋体"/>
                <w:szCs w:val="21"/>
              </w:rPr>
            </w:pPr>
            <w:r>
              <w:rPr>
                <w:rFonts w:hint="eastAsia" w:ascii="宋体" w:hAnsi="宋体" w:cs="宋体"/>
                <w:szCs w:val="21"/>
              </w:rPr>
              <w:t>第二个信封（报价文件）评分分值构成：</w:t>
            </w:r>
          </w:p>
          <w:p>
            <w:pPr>
              <w:rPr>
                <w:rFonts w:ascii="宋体" w:cs="宋体"/>
                <w:szCs w:val="21"/>
              </w:rPr>
            </w:pPr>
            <w:r>
              <w:rPr>
                <w:rFonts w:hint="eastAsia" w:ascii="宋体" w:hAnsi="宋体" w:cs="宋体"/>
                <w:szCs w:val="21"/>
              </w:rPr>
              <w:t>评标价：</w:t>
            </w:r>
            <w:r>
              <w:rPr>
                <w:rFonts w:ascii="宋体" w:hAnsi="宋体" w:cs="宋体"/>
                <w:szCs w:val="21"/>
              </w:rPr>
              <w:t xml:space="preserve">        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1072" w:type="dxa"/>
            <w:vAlign w:val="center"/>
          </w:tcPr>
          <w:p>
            <w:pPr>
              <w:jc w:val="center"/>
              <w:rPr>
                <w:rFonts w:ascii="宋体" w:cs="宋体"/>
                <w:szCs w:val="21"/>
              </w:rPr>
            </w:pPr>
            <w:r>
              <w:rPr>
                <w:rFonts w:ascii="宋体" w:hAnsi="宋体" w:cs="宋体"/>
                <w:szCs w:val="21"/>
              </w:rPr>
              <w:t>2.2.2</w:t>
            </w:r>
          </w:p>
        </w:tc>
        <w:tc>
          <w:tcPr>
            <w:tcW w:w="1275" w:type="dxa"/>
            <w:vAlign w:val="center"/>
          </w:tcPr>
          <w:p>
            <w:pPr>
              <w:jc w:val="center"/>
              <w:rPr>
                <w:rFonts w:ascii="宋体" w:cs="宋体"/>
                <w:szCs w:val="21"/>
              </w:rPr>
            </w:pPr>
            <w:r>
              <w:rPr>
                <w:rFonts w:hint="eastAsia" w:ascii="宋体" w:hAnsi="宋体" w:cs="宋体"/>
                <w:szCs w:val="21"/>
              </w:rPr>
              <w:t>评标基准价计算方法</w:t>
            </w:r>
          </w:p>
        </w:tc>
        <w:tc>
          <w:tcPr>
            <w:tcW w:w="7272" w:type="dxa"/>
            <w:vAlign w:val="center"/>
          </w:tcPr>
          <w:p>
            <w:pPr>
              <w:ind w:left="113" w:right="113" w:firstLine="210" w:firstLineChars="100"/>
              <w:rPr>
                <w:rFonts w:ascii="宋体"/>
                <w:szCs w:val="21"/>
              </w:rPr>
            </w:pPr>
            <w:r>
              <w:rPr>
                <w:rFonts w:hint="eastAsia" w:ascii="宋体" w:hAnsi="宋体"/>
                <w:szCs w:val="21"/>
              </w:rPr>
              <w:t>评标基准价的计算：</w:t>
            </w:r>
          </w:p>
          <w:p>
            <w:pPr>
              <w:ind w:left="113" w:right="113" w:firstLine="210" w:firstLineChars="100"/>
              <w:rPr>
                <w:rFonts w:ascii="宋体"/>
                <w:szCs w:val="21"/>
              </w:rPr>
            </w:pPr>
            <w:r>
              <w:rPr>
                <w:rFonts w:hint="eastAsia" w:ascii="宋体" w:hAnsi="宋体"/>
                <w:szCs w:val="21"/>
              </w:rPr>
              <w:t>在第二个信封开标现场，招标人将当场计算并宣布评标基准价。</w:t>
            </w:r>
          </w:p>
          <w:p>
            <w:pPr>
              <w:ind w:left="113" w:right="113" w:firstLine="210" w:firstLineChars="100"/>
              <w:rPr>
                <w:rFonts w:ascii="宋体"/>
                <w:szCs w:val="21"/>
              </w:rPr>
            </w:pPr>
            <w:r>
              <w:rPr>
                <w:rFonts w:ascii="宋体" w:hAnsi="宋体"/>
                <w:szCs w:val="21"/>
              </w:rPr>
              <w:t>(1)</w:t>
            </w:r>
            <w:r>
              <w:rPr>
                <w:rFonts w:hint="eastAsia" w:ascii="宋体" w:hAnsi="宋体"/>
                <w:szCs w:val="21"/>
              </w:rPr>
              <w:t>评标价的确定：</w:t>
            </w:r>
          </w:p>
          <w:p>
            <w:pPr>
              <w:ind w:left="113" w:right="113" w:firstLine="210" w:firstLineChars="100"/>
              <w:rPr>
                <w:rFonts w:ascii="宋体"/>
                <w:szCs w:val="21"/>
              </w:rPr>
            </w:pPr>
            <w:r>
              <w:rPr>
                <w:rFonts w:hint="eastAsia" w:ascii="宋体" w:hAnsi="宋体"/>
                <w:szCs w:val="21"/>
              </w:rPr>
              <w:t>评标价</w:t>
            </w:r>
            <w:r>
              <w:rPr>
                <w:rFonts w:ascii="宋体" w:hAnsi="宋体"/>
                <w:szCs w:val="21"/>
              </w:rPr>
              <w:t>=</w:t>
            </w:r>
            <w:r>
              <w:rPr>
                <w:rFonts w:hint="eastAsia" w:ascii="宋体" w:hAnsi="宋体"/>
                <w:szCs w:val="21"/>
              </w:rPr>
              <w:t>投标函文字报价</w:t>
            </w:r>
          </w:p>
          <w:p>
            <w:pPr>
              <w:ind w:left="113" w:right="113" w:firstLine="210" w:firstLineChars="100"/>
              <w:rPr>
                <w:rFonts w:ascii="宋体"/>
                <w:szCs w:val="21"/>
              </w:rPr>
            </w:pPr>
            <w:r>
              <w:rPr>
                <w:rFonts w:ascii="宋体" w:hAnsi="宋体"/>
                <w:szCs w:val="21"/>
              </w:rPr>
              <w:t>(2)</w:t>
            </w:r>
            <w:r>
              <w:rPr>
                <w:rFonts w:hint="eastAsia" w:ascii="宋体" w:hAnsi="宋体"/>
                <w:szCs w:val="21"/>
              </w:rPr>
              <w:t>评标价平均值的计算：</w:t>
            </w:r>
          </w:p>
          <w:p>
            <w:pPr>
              <w:ind w:left="113" w:right="113" w:firstLine="210" w:firstLineChars="100"/>
              <w:rPr>
                <w:rFonts w:ascii="宋体"/>
                <w:szCs w:val="21"/>
              </w:rPr>
            </w:pPr>
            <w:r>
              <w:rPr>
                <w:rFonts w:hint="eastAsia" w:ascii="宋体" w:hAnsi="宋体"/>
                <w:szCs w:val="21"/>
              </w:rPr>
              <w:t>除按第二章“投标人须知”第</w:t>
            </w:r>
            <w:r>
              <w:rPr>
                <w:rFonts w:ascii="宋体" w:hAnsi="宋体"/>
                <w:szCs w:val="21"/>
              </w:rPr>
              <w:t>5.2.4</w:t>
            </w:r>
            <w:r>
              <w:rPr>
                <w:rFonts w:hint="eastAsia" w:ascii="宋体" w:hAnsi="宋体"/>
                <w:szCs w:val="21"/>
              </w:rPr>
              <w:t>项规定开标现场被宣布为不进入评标基准价计算的投标报价之外，如果参与计算的投标人数量＜</w:t>
            </w:r>
            <w:r>
              <w:rPr>
                <w:rFonts w:ascii="宋体" w:hAnsi="宋体"/>
                <w:szCs w:val="21"/>
              </w:rPr>
              <w:t>6</w:t>
            </w:r>
            <w:r>
              <w:rPr>
                <w:rFonts w:hint="eastAsia" w:ascii="宋体" w:hAnsi="宋体"/>
                <w:szCs w:val="21"/>
              </w:rPr>
              <w:t>家时，计算评标价平均值时不去最高值和最低值；如果</w:t>
            </w:r>
            <w:r>
              <w:rPr>
                <w:rFonts w:ascii="宋体" w:hAnsi="宋体"/>
                <w:szCs w:val="21"/>
              </w:rPr>
              <w:t>6</w:t>
            </w:r>
            <w:r>
              <w:rPr>
                <w:rFonts w:hint="eastAsia" w:ascii="宋体" w:hAnsi="宋体"/>
                <w:szCs w:val="21"/>
              </w:rPr>
              <w:t>≤参与计算的投标人数量≤</w:t>
            </w:r>
            <w:r>
              <w:rPr>
                <w:rFonts w:ascii="宋体" w:hAnsi="宋体"/>
                <w:szCs w:val="21"/>
              </w:rPr>
              <w:t>10</w:t>
            </w:r>
            <w:r>
              <w:rPr>
                <w:rFonts w:hint="eastAsia" w:ascii="宋体" w:hAnsi="宋体"/>
                <w:szCs w:val="21"/>
              </w:rPr>
              <w:t>家时，计算评标价平均值时去掉</w:t>
            </w:r>
            <w:r>
              <w:rPr>
                <w:rFonts w:ascii="宋体" w:hAnsi="宋体"/>
                <w:szCs w:val="21"/>
              </w:rPr>
              <w:t>1</w:t>
            </w:r>
            <w:r>
              <w:rPr>
                <w:rFonts w:hint="eastAsia" w:ascii="宋体" w:hAnsi="宋体"/>
                <w:szCs w:val="21"/>
              </w:rPr>
              <w:t>个最高值和</w:t>
            </w:r>
            <w:r>
              <w:rPr>
                <w:rFonts w:ascii="宋体" w:hAnsi="宋体"/>
                <w:szCs w:val="21"/>
              </w:rPr>
              <w:t>1</w:t>
            </w:r>
            <w:r>
              <w:rPr>
                <w:rFonts w:hint="eastAsia" w:ascii="宋体" w:hAnsi="宋体"/>
                <w:szCs w:val="21"/>
              </w:rPr>
              <w:t>个最低值；如果参与计算的投标人数量＞</w:t>
            </w:r>
            <w:r>
              <w:rPr>
                <w:rFonts w:ascii="宋体" w:hAnsi="宋体"/>
                <w:szCs w:val="21"/>
              </w:rPr>
              <w:t>10</w:t>
            </w:r>
            <w:r>
              <w:rPr>
                <w:rFonts w:hint="eastAsia" w:ascii="宋体" w:hAnsi="宋体"/>
                <w:szCs w:val="21"/>
              </w:rPr>
              <w:t>家时，计算评标价平均值时去掉</w:t>
            </w:r>
            <w:r>
              <w:rPr>
                <w:rFonts w:ascii="宋体" w:hAnsi="宋体"/>
                <w:szCs w:val="21"/>
              </w:rPr>
              <w:t>2</w:t>
            </w:r>
            <w:r>
              <w:rPr>
                <w:rFonts w:hint="eastAsia" w:ascii="宋体" w:hAnsi="宋体"/>
                <w:szCs w:val="21"/>
              </w:rPr>
              <w:t>个最高值和</w:t>
            </w:r>
            <w:r>
              <w:rPr>
                <w:rFonts w:ascii="宋体" w:hAnsi="宋体"/>
                <w:szCs w:val="21"/>
              </w:rPr>
              <w:t>2</w:t>
            </w:r>
            <w:r>
              <w:rPr>
                <w:rFonts w:hint="eastAsia" w:ascii="宋体" w:hAnsi="宋体"/>
                <w:szCs w:val="21"/>
              </w:rPr>
              <w:t>个最低值。</w:t>
            </w:r>
          </w:p>
          <w:p>
            <w:pPr>
              <w:ind w:left="113" w:right="113" w:firstLine="210" w:firstLineChars="100"/>
              <w:rPr>
                <w:rFonts w:ascii="宋体"/>
                <w:szCs w:val="21"/>
              </w:rPr>
            </w:pPr>
            <w:r>
              <w:rPr>
                <w:rFonts w:ascii="宋体" w:hAnsi="宋体"/>
                <w:szCs w:val="21"/>
              </w:rPr>
              <w:t>(3)</w:t>
            </w:r>
            <w:r>
              <w:rPr>
                <w:rFonts w:hint="eastAsia" w:ascii="宋体" w:hAnsi="宋体"/>
                <w:szCs w:val="21"/>
              </w:rPr>
              <w:t>评标基准价的确定：</w:t>
            </w:r>
          </w:p>
          <w:p>
            <w:pPr>
              <w:ind w:left="113" w:right="113" w:firstLine="210" w:firstLineChars="100"/>
              <w:rPr>
                <w:rFonts w:ascii="宋体"/>
                <w:szCs w:val="21"/>
              </w:rPr>
            </w:pPr>
            <w:r>
              <w:rPr>
                <w:rFonts w:hint="eastAsia" w:ascii="宋体" w:hAnsi="宋体"/>
                <w:szCs w:val="21"/>
              </w:rPr>
              <w:t>将评标价平均值直接作为评标基准价（评标基准价保留两位小数，第三位四舍五入）。当所有投标价都高于招标人投标控制价上限时，招标人将重新招标。</w:t>
            </w:r>
          </w:p>
          <w:p>
            <w:pPr>
              <w:ind w:firstLine="420" w:firstLineChars="200"/>
              <w:rPr>
                <w:rFonts w:ascii="宋体" w:cs="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72" w:type="dxa"/>
            <w:vAlign w:val="center"/>
          </w:tcPr>
          <w:p>
            <w:pPr>
              <w:jc w:val="center"/>
              <w:rPr>
                <w:rFonts w:ascii="宋体" w:cs="宋体"/>
                <w:szCs w:val="21"/>
              </w:rPr>
            </w:pPr>
            <w:r>
              <w:rPr>
                <w:rFonts w:ascii="宋体" w:hAnsi="宋体" w:cs="宋体"/>
                <w:szCs w:val="21"/>
              </w:rPr>
              <w:t>2.2.3</w:t>
            </w:r>
          </w:p>
        </w:tc>
        <w:tc>
          <w:tcPr>
            <w:tcW w:w="1275" w:type="dxa"/>
            <w:vAlign w:val="center"/>
          </w:tcPr>
          <w:p>
            <w:pPr>
              <w:spacing w:beforeLines="50" w:afterLines="50"/>
              <w:ind w:left="113" w:right="113"/>
              <w:rPr>
                <w:rFonts w:ascii="宋体"/>
                <w:szCs w:val="21"/>
              </w:rPr>
            </w:pPr>
            <w:r>
              <w:rPr>
                <w:rFonts w:hint="eastAsia" w:ascii="宋体" w:hAnsi="宋体" w:cs="宋体"/>
                <w:szCs w:val="21"/>
              </w:rPr>
              <w:t>评标价的偏差率计算公式</w:t>
            </w:r>
          </w:p>
        </w:tc>
        <w:tc>
          <w:tcPr>
            <w:tcW w:w="7272" w:type="dxa"/>
            <w:vAlign w:val="center"/>
          </w:tcPr>
          <w:p>
            <w:pPr>
              <w:spacing w:beforeLines="50" w:afterLines="50"/>
              <w:ind w:left="113" w:right="113" w:firstLine="210" w:firstLineChars="100"/>
              <w:rPr>
                <w:rFonts w:ascii="宋体"/>
                <w:sz w:val="34"/>
                <w:szCs w:val="21"/>
              </w:rPr>
            </w:pPr>
            <w:r>
              <w:rPr>
                <w:rFonts w:hint="eastAsia" w:ascii="宋体" w:hAnsi="宋体"/>
                <w:szCs w:val="21"/>
              </w:rPr>
              <w:t>偏差率</w:t>
            </w:r>
            <w:r>
              <w:rPr>
                <w:rFonts w:ascii="宋体" w:hAnsi="宋体"/>
                <w:szCs w:val="21"/>
              </w:rPr>
              <w:t>=100%</w:t>
            </w:r>
            <w:r>
              <w:rPr>
                <w:rFonts w:hint="eastAsia" w:ascii="宋体" w:hAnsi="宋体"/>
                <w:szCs w:val="21"/>
              </w:rPr>
              <w:t>×</w:t>
            </w:r>
            <w:r>
              <w:rPr>
                <w:rFonts w:ascii="宋体" w:hAnsi="宋体"/>
                <w:szCs w:val="21"/>
              </w:rPr>
              <w:t>(</w:t>
            </w:r>
            <w:r>
              <w:rPr>
                <w:rFonts w:hint="eastAsia" w:ascii="宋体" w:hAnsi="宋体"/>
                <w:szCs w:val="21"/>
              </w:rPr>
              <w:t>投标人评标价</w:t>
            </w:r>
            <w:r>
              <w:rPr>
                <w:rFonts w:asci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spacing w:beforeLines="50" w:afterLines="50"/>
              <w:ind w:left="113" w:right="113" w:firstLine="210" w:firstLineChars="100"/>
              <w:rPr>
                <w:rFonts w:ascii="宋体"/>
                <w:sz w:val="34"/>
                <w:szCs w:val="21"/>
              </w:rPr>
            </w:pPr>
            <w:r>
              <w:rPr>
                <w:rFonts w:hint="eastAsia" w:ascii="宋体" w:hAnsi="宋体"/>
                <w:szCs w:val="21"/>
              </w:rPr>
              <w:t>偏差率保留</w:t>
            </w:r>
            <w:r>
              <w:rPr>
                <w:rFonts w:ascii="宋体" w:hAnsi="宋体"/>
                <w:szCs w:val="21"/>
              </w:rPr>
              <w:t>2</w:t>
            </w:r>
            <w:r>
              <w:rPr>
                <w:rFonts w:hint="eastAsia" w:ascii="宋体" w:hAnsi="宋体"/>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ind w:right="113"/>
              <w:jc w:val="center"/>
              <w:textAlignment w:val="baseline"/>
              <w:rPr>
                <w:rFonts w:ascii="宋体" w:hAnsi="宋体"/>
                <w:sz w:val="20"/>
                <w:szCs w:val="21"/>
              </w:rPr>
            </w:pPr>
            <w:r>
              <w:rPr>
                <w:rFonts w:hint="eastAsia" w:ascii="宋体" w:hAnsi="宋体"/>
                <w:szCs w:val="21"/>
              </w:rPr>
              <w:t>3.6.1</w:t>
            </w:r>
          </w:p>
        </w:tc>
        <w:tc>
          <w:tcPr>
            <w:tcW w:w="1275" w:type="dxa"/>
            <w:vAlign w:val="center"/>
          </w:tcPr>
          <w:p>
            <w:pPr>
              <w:ind w:left="-31" w:leftChars="-15"/>
              <w:textAlignment w:val="baseline"/>
              <w:rPr>
                <w:rFonts w:ascii="宋体" w:hAnsi="宋体"/>
                <w:sz w:val="20"/>
                <w:szCs w:val="21"/>
              </w:rPr>
            </w:pPr>
            <w:r>
              <w:rPr>
                <w:rFonts w:hint="eastAsia" w:ascii="宋体" w:hAnsi="宋体"/>
              </w:rPr>
              <w:t>投标文件相关信息的核查</w:t>
            </w:r>
          </w:p>
        </w:tc>
        <w:tc>
          <w:tcPr>
            <w:tcW w:w="7272" w:type="dxa"/>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rPr>
              <w:t>（1）</w:t>
            </w:r>
            <w:r>
              <w:rPr>
                <w:rFonts w:hint="eastAsia" w:ascii="宋体" w:hAnsi="宋体"/>
                <w:szCs w:val="21"/>
              </w:rPr>
              <w:t>投标人名称和资质与“全国公路建设市场信用信息管理系统（http://glxy.mot.gov.cn/）”的复核结果一致；</w:t>
            </w:r>
          </w:p>
          <w:p>
            <w:pPr>
              <w:ind w:firstLine="420" w:firstLineChars="200"/>
              <w:rPr>
                <w:rFonts w:ascii="宋体" w:hAnsi="宋体"/>
              </w:rPr>
            </w:pPr>
            <w:r>
              <w:rPr>
                <w:rFonts w:hint="eastAsia" w:ascii="宋体" w:hAnsi="宋体"/>
                <w:szCs w:val="21"/>
              </w:rPr>
              <w:t>如投标人未提供相关网页截图或相关网页截图中的信息无法证实投标人满足招标文件规定的资格审查条件（资质最低要求）或网页截图与“全国公路建设市场信用信息管理系统（http://glxy.mot.gov.cn）”的核查结果不一致，则相关资质不予认定。</w:t>
            </w:r>
          </w:p>
          <w:p>
            <w:pPr>
              <w:ind w:firstLine="420" w:firstLineChars="200"/>
              <w:rPr>
                <w:rFonts w:ascii="宋体" w:hAnsi="宋体"/>
                <w:szCs w:val="21"/>
              </w:rPr>
            </w:pPr>
            <w:r>
              <w:rPr>
                <w:rFonts w:hint="eastAsia" w:ascii="宋体" w:hAnsi="宋体"/>
              </w:rPr>
              <w:t>（2）</w:t>
            </w:r>
            <w:r>
              <w:rPr>
                <w:rFonts w:hint="eastAsia" w:ascii="宋体" w:hAnsi="宋体"/>
                <w:szCs w:val="21"/>
              </w:rPr>
              <w:t>评标委员会评标时应对投标人的信用情况在“国家企业信用信息公示系统”和“信用中国”网站对投标人的信用情况进行查询，若投标人存在“国家企业信用信息公示系统” 被列入严重违法失信企业名单（不含分公司）或在“信用中国”网站“被列入失信被执行人名单、</w:t>
            </w:r>
            <w:r>
              <w:rPr>
                <w:rFonts w:hint="eastAsia" w:ascii="宋体" w:hAnsi="宋体" w:cs="Arial"/>
                <w:szCs w:val="21"/>
              </w:rPr>
              <w:t>异常经营名录、税收违法黑名单、政府采购严重违法失信行为记录名单</w:t>
            </w:r>
            <w:r>
              <w:rPr>
                <w:rFonts w:hint="eastAsia" w:ascii="宋体" w:hAnsi="宋体"/>
                <w:szCs w:val="21"/>
              </w:rPr>
              <w:t>”情形的（均不含分公司），评标委员会应否决其投标。</w:t>
            </w:r>
          </w:p>
          <w:p>
            <w:pPr>
              <w:ind w:firstLine="420" w:firstLineChars="200"/>
              <w:rPr>
                <w:rFonts w:ascii="宋体" w:hAnsi="宋体"/>
                <w:szCs w:val="21"/>
              </w:rPr>
            </w:pPr>
            <w:r>
              <w:rPr>
                <w:rFonts w:hint="eastAsia" w:ascii="宋体" w:hAnsi="宋体"/>
                <w:szCs w:val="21"/>
              </w:rPr>
              <w:t>如投标人未提供相关网页截图或所附截图与核查结果不一致，评标委员会应否决其投标。</w:t>
            </w:r>
          </w:p>
          <w:p>
            <w:pPr>
              <w:spacing w:line="380" w:lineRule="exact"/>
              <w:ind w:right="113" w:firstLine="420" w:firstLineChars="200"/>
              <w:textAlignment w:val="baseline"/>
              <w:rPr>
                <w:rFonts w:ascii="宋体" w:hAnsi="宋体"/>
                <w:sz w:val="20"/>
                <w:szCs w:val="21"/>
              </w:rPr>
            </w:pPr>
            <w:r>
              <w:rPr>
                <w:rFonts w:hint="eastAsia" w:ascii="宋体" w:hAnsi="宋体"/>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处理结果同时报相关政府网站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ind w:right="113"/>
              <w:jc w:val="center"/>
              <w:rPr>
                <w:rFonts w:ascii="宋体" w:hAnsi="宋体"/>
                <w:szCs w:val="21"/>
              </w:rPr>
            </w:pPr>
            <w:r>
              <w:rPr>
                <w:rFonts w:hint="eastAsia" w:ascii="宋体" w:hAnsi="宋体"/>
                <w:szCs w:val="21"/>
              </w:rPr>
              <w:t>3.9.</w:t>
            </w:r>
            <w:r>
              <w:rPr>
                <w:rFonts w:ascii="宋体" w:hAnsi="宋体"/>
                <w:szCs w:val="21"/>
              </w:rPr>
              <w:t>3</w:t>
            </w:r>
          </w:p>
        </w:tc>
        <w:tc>
          <w:tcPr>
            <w:tcW w:w="1275" w:type="dxa"/>
            <w:vAlign w:val="center"/>
          </w:tcPr>
          <w:p>
            <w:pPr>
              <w:ind w:left="-31" w:leftChars="-15" w:right="-77"/>
              <w:jc w:val="center"/>
              <w:rPr>
                <w:rFonts w:ascii="宋体" w:hAnsi="宋体"/>
                <w:szCs w:val="21"/>
              </w:rPr>
            </w:pPr>
            <w:r>
              <w:rPr>
                <w:rFonts w:hint="eastAsia" w:ascii="宋体" w:hAnsi="宋体"/>
                <w:szCs w:val="21"/>
              </w:rPr>
              <w:t>评标</w:t>
            </w:r>
          </w:p>
          <w:p>
            <w:pPr>
              <w:ind w:left="-31" w:leftChars="-15" w:right="-77"/>
              <w:jc w:val="center"/>
              <w:rPr>
                <w:rFonts w:ascii="宋体" w:hAnsi="宋体"/>
                <w:szCs w:val="21"/>
              </w:rPr>
            </w:pPr>
            <w:r>
              <w:rPr>
                <w:rFonts w:hint="eastAsia" w:ascii="宋体" w:hAnsi="宋体"/>
                <w:szCs w:val="21"/>
              </w:rPr>
              <w:t>结果</w:t>
            </w:r>
          </w:p>
        </w:tc>
        <w:tc>
          <w:tcPr>
            <w:tcW w:w="7272" w:type="dxa"/>
            <w:vAlign w:val="center"/>
          </w:tcPr>
          <w:p>
            <w:pPr>
              <w:spacing w:line="340" w:lineRule="exact"/>
              <w:ind w:right="113" w:firstLine="426" w:firstLineChars="203"/>
              <w:rPr>
                <w:rFonts w:ascii="宋体" w:hAnsi="宋体"/>
                <w:szCs w:val="21"/>
              </w:rPr>
            </w:pPr>
            <w:r>
              <w:rPr>
                <w:rFonts w:hint="eastAsia" w:ascii="宋体" w:hAnsi="宋体"/>
                <w:szCs w:val="21"/>
              </w:rPr>
              <w:t>3.9.1 除第二章“投标人须知”前附表授权直接确定中标人外，评标委员会按照评标办法前附表“1.评标办法”的规定推荐中标候选人。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9" w:type="dxa"/>
            <w:gridSpan w:val="3"/>
            <w:vAlign w:val="center"/>
          </w:tcPr>
          <w:p>
            <w:pPr>
              <w:rPr>
                <w:rFonts w:ascii="宋体" w:cs="宋体"/>
                <w:szCs w:val="21"/>
              </w:rPr>
            </w:pPr>
            <w:r>
              <w:rPr>
                <w:rFonts w:hint="eastAsia" w:ascii="宋体" w:hAnsi="宋体" w:cs="宋体"/>
                <w:szCs w:val="21"/>
              </w:rPr>
              <w:t>需要补充的其他内容：无</w:t>
            </w:r>
          </w:p>
        </w:tc>
      </w:tr>
    </w:tbl>
    <w:p>
      <w:pPr>
        <w:pStyle w:val="5"/>
        <w:spacing w:line="360" w:lineRule="auto"/>
        <w:rPr>
          <w:rFonts w:hAnsi="宋体"/>
          <w:sz w:val="24"/>
        </w:rPr>
      </w:pPr>
    </w:p>
    <w:p>
      <w:pPr>
        <w:pStyle w:val="5"/>
        <w:spacing w:line="360" w:lineRule="auto"/>
        <w:rPr>
          <w:rFonts w:hAnsi="宋体"/>
          <w:sz w:val="24"/>
        </w:rPr>
      </w:pPr>
      <w:r>
        <w:rPr>
          <w:rFonts w:hint="eastAsia" w:hAnsi="宋体"/>
          <w:sz w:val="24"/>
        </w:rPr>
        <w:t>具体评分标准如下：</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41"/>
        <w:gridCol w:w="653"/>
        <w:gridCol w:w="223"/>
        <w:gridCol w:w="300"/>
        <w:gridCol w:w="513"/>
        <w:gridCol w:w="198"/>
        <w:gridCol w:w="601"/>
        <w:gridCol w:w="426"/>
        <w:gridCol w:w="4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Align w:val="center"/>
          </w:tcPr>
          <w:p>
            <w:pPr>
              <w:autoSpaceDE w:val="0"/>
              <w:autoSpaceDN w:val="0"/>
              <w:jc w:val="center"/>
              <w:rPr>
                <w:rFonts w:ascii="宋体" w:cs="宋体"/>
                <w:b/>
                <w:kern w:val="0"/>
                <w:szCs w:val="21"/>
              </w:rPr>
            </w:pPr>
            <w:r>
              <w:rPr>
                <w:rFonts w:hint="eastAsia" w:ascii="宋体" w:hAnsi="宋体" w:cs="宋体"/>
                <w:b/>
                <w:kern w:val="0"/>
                <w:szCs w:val="21"/>
              </w:rPr>
              <w:t>条款号</w:t>
            </w:r>
          </w:p>
        </w:tc>
        <w:tc>
          <w:tcPr>
            <w:tcW w:w="401"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评审</w:t>
            </w:r>
          </w:p>
          <w:p>
            <w:pPr>
              <w:autoSpaceDE w:val="0"/>
              <w:autoSpaceDN w:val="0"/>
              <w:jc w:val="center"/>
              <w:rPr>
                <w:rFonts w:ascii="宋体" w:cs="宋体"/>
                <w:b/>
                <w:kern w:val="0"/>
                <w:szCs w:val="21"/>
              </w:rPr>
            </w:pPr>
            <w:r>
              <w:rPr>
                <w:rFonts w:hint="eastAsia" w:ascii="宋体" w:hAnsi="宋体" w:cs="宋体"/>
                <w:b/>
                <w:kern w:val="0"/>
                <w:szCs w:val="21"/>
              </w:rPr>
              <w:t>因素</w:t>
            </w:r>
          </w:p>
        </w:tc>
        <w:tc>
          <w:tcPr>
            <w:tcW w:w="306" w:type="pct"/>
            <w:gridSpan w:val="2"/>
            <w:vAlign w:val="center"/>
          </w:tcPr>
          <w:p>
            <w:pPr>
              <w:autoSpaceDE w:val="0"/>
              <w:autoSpaceDN w:val="0"/>
              <w:jc w:val="center"/>
              <w:rPr>
                <w:rFonts w:ascii="宋体" w:cs="宋体"/>
                <w:b/>
                <w:kern w:val="0"/>
                <w:szCs w:val="21"/>
              </w:rPr>
            </w:pPr>
            <w:r>
              <w:rPr>
                <w:rFonts w:hint="eastAsia" w:ascii="宋体" w:hAnsi="宋体" w:cs="宋体"/>
                <w:b/>
                <w:kern w:val="0"/>
                <w:szCs w:val="21"/>
              </w:rPr>
              <w:t>评分因素权重分值</w:t>
            </w:r>
          </w:p>
        </w:tc>
        <w:tc>
          <w:tcPr>
            <w:tcW w:w="812" w:type="pct"/>
            <w:gridSpan w:val="3"/>
            <w:tcBorders>
              <w:right w:val="single" w:color="auto" w:sz="4" w:space="0"/>
            </w:tcBorders>
            <w:vAlign w:val="center"/>
          </w:tcPr>
          <w:p>
            <w:pPr>
              <w:autoSpaceDE w:val="0"/>
              <w:autoSpaceDN w:val="0"/>
              <w:jc w:val="center"/>
              <w:rPr>
                <w:rFonts w:ascii="宋体" w:hAnsi="宋体" w:cs="宋体"/>
                <w:b/>
                <w:kern w:val="0"/>
                <w:szCs w:val="21"/>
              </w:rPr>
            </w:pPr>
            <w:r>
              <w:rPr>
                <w:rFonts w:hint="eastAsia" w:ascii="宋体" w:hAnsi="宋体" w:cs="宋体"/>
                <w:b/>
                <w:kern w:val="0"/>
                <w:szCs w:val="21"/>
              </w:rPr>
              <w:t>各评分因素</w:t>
            </w:r>
          </w:p>
          <w:p>
            <w:pPr>
              <w:autoSpaceDE w:val="0"/>
              <w:autoSpaceDN w:val="0"/>
              <w:jc w:val="center"/>
              <w:rPr>
                <w:rFonts w:ascii="宋体" w:cs="宋体"/>
                <w:b/>
                <w:kern w:val="0"/>
                <w:szCs w:val="21"/>
              </w:rPr>
            </w:pPr>
            <w:r>
              <w:rPr>
                <w:rFonts w:hint="eastAsia" w:ascii="宋体" w:hAnsi="宋体" w:cs="宋体"/>
                <w:b/>
                <w:kern w:val="0"/>
                <w:szCs w:val="21"/>
              </w:rPr>
              <w:t>细分项</w:t>
            </w:r>
          </w:p>
        </w:tc>
        <w:tc>
          <w:tcPr>
            <w:tcW w:w="264" w:type="pct"/>
            <w:tcBorders>
              <w:left w:val="single" w:color="auto" w:sz="4" w:space="0"/>
              <w:right w:val="single" w:color="auto" w:sz="4" w:space="0"/>
            </w:tcBorders>
            <w:vAlign w:val="center"/>
          </w:tcPr>
          <w:p>
            <w:pPr>
              <w:autoSpaceDE w:val="0"/>
              <w:autoSpaceDN w:val="0"/>
              <w:jc w:val="center"/>
              <w:rPr>
                <w:rFonts w:ascii="宋体" w:cs="宋体"/>
                <w:b/>
                <w:kern w:val="0"/>
                <w:szCs w:val="21"/>
              </w:rPr>
            </w:pPr>
            <w:r>
              <w:rPr>
                <w:rFonts w:hint="eastAsia" w:ascii="宋体" w:hAnsi="宋体" w:cs="宋体"/>
                <w:b/>
                <w:kern w:val="0"/>
                <w:szCs w:val="21"/>
              </w:rPr>
              <w:t>分值</w:t>
            </w:r>
          </w:p>
        </w:tc>
        <w:tc>
          <w:tcPr>
            <w:tcW w:w="2932" w:type="pct"/>
            <w:tcBorders>
              <w:left w:val="single" w:color="auto" w:sz="4" w:space="0"/>
            </w:tcBorders>
            <w:vAlign w:val="center"/>
          </w:tcPr>
          <w:p>
            <w:pPr>
              <w:autoSpaceDE w:val="0"/>
              <w:autoSpaceDN w:val="0"/>
              <w:jc w:val="center"/>
              <w:rPr>
                <w:rFonts w:asci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restart"/>
            <w:vAlign w:val="center"/>
          </w:tcPr>
          <w:p>
            <w:pPr>
              <w:autoSpaceDE w:val="0"/>
              <w:autoSpaceDN w:val="0"/>
              <w:rPr>
                <w:rFonts w:ascii="宋体" w:cs="宋体"/>
                <w:kern w:val="0"/>
                <w:szCs w:val="21"/>
              </w:rPr>
            </w:pPr>
            <w:r>
              <w:rPr>
                <w:rFonts w:ascii="宋体" w:hAnsi="宋体" w:cs="宋体"/>
                <w:kern w:val="0"/>
                <w:szCs w:val="21"/>
              </w:rPr>
              <w:t>2.2.4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p>
        </w:tc>
        <w:tc>
          <w:tcPr>
            <w:tcW w:w="401" w:type="pct"/>
            <w:vMerge w:val="restart"/>
            <w:vAlign w:val="center"/>
          </w:tcPr>
          <w:p>
            <w:pPr>
              <w:autoSpaceDE w:val="0"/>
              <w:autoSpaceDN w:val="0"/>
              <w:jc w:val="center"/>
              <w:rPr>
                <w:rFonts w:ascii="宋体" w:cs="宋体"/>
                <w:kern w:val="0"/>
                <w:szCs w:val="21"/>
              </w:rPr>
            </w:pPr>
            <w:r>
              <w:rPr>
                <w:rFonts w:hint="eastAsia" w:ascii="宋体" w:hAnsi="宋体" w:cs="宋体"/>
                <w:kern w:val="0"/>
                <w:szCs w:val="21"/>
              </w:rPr>
              <w:t>技术</w:t>
            </w:r>
          </w:p>
          <w:p>
            <w:pPr>
              <w:autoSpaceDE w:val="0"/>
              <w:autoSpaceDN w:val="0"/>
              <w:jc w:val="center"/>
              <w:rPr>
                <w:rFonts w:ascii="宋体" w:cs="宋体"/>
                <w:kern w:val="0"/>
                <w:szCs w:val="21"/>
              </w:rPr>
            </w:pPr>
            <w:r>
              <w:rPr>
                <w:rFonts w:hint="eastAsia" w:ascii="宋体" w:hAnsi="宋体" w:cs="宋体"/>
                <w:kern w:val="0"/>
                <w:szCs w:val="21"/>
              </w:rPr>
              <w:t>建议书</w:t>
            </w:r>
          </w:p>
        </w:tc>
        <w:tc>
          <w:tcPr>
            <w:tcW w:w="306" w:type="pct"/>
            <w:gridSpan w:val="2"/>
            <w:vMerge w:val="restart"/>
            <w:vAlign w:val="center"/>
          </w:tcPr>
          <w:p>
            <w:pPr>
              <w:autoSpaceDE w:val="0"/>
              <w:autoSpaceDN w:val="0"/>
              <w:jc w:val="center"/>
              <w:rPr>
                <w:rFonts w:ascii="宋体" w:cs="宋体"/>
                <w:kern w:val="0"/>
                <w:szCs w:val="21"/>
              </w:rPr>
            </w:pPr>
            <w:r>
              <w:rPr>
                <w:rFonts w:hint="eastAsia" w:ascii="宋体" w:hAnsi="宋体" w:cs="宋体"/>
                <w:kern w:val="0"/>
                <w:szCs w:val="21"/>
              </w:rPr>
              <w:t>35分</w:t>
            </w:r>
          </w:p>
        </w:tc>
        <w:tc>
          <w:tcPr>
            <w:tcW w:w="316" w:type="pct"/>
            <w:vMerge w:val="restart"/>
            <w:tcBorders>
              <w:right w:val="single" w:color="auto" w:sz="4" w:space="0"/>
            </w:tcBorders>
            <w:vAlign w:val="center"/>
          </w:tcPr>
          <w:p>
            <w:pPr>
              <w:autoSpaceDE w:val="0"/>
              <w:autoSpaceDN w:val="0"/>
              <w:jc w:val="center"/>
              <w:rPr>
                <w:rFonts w:hAnsi="宋体"/>
                <w:spacing w:val="-10"/>
                <w:szCs w:val="21"/>
              </w:rPr>
            </w:pPr>
            <w:r>
              <w:rPr>
                <w:rFonts w:hint="eastAsia" w:hAnsi="宋体"/>
                <w:spacing w:val="-10"/>
                <w:szCs w:val="21"/>
              </w:rPr>
              <w:t>监理</w:t>
            </w:r>
          </w:p>
          <w:p>
            <w:pPr>
              <w:autoSpaceDE w:val="0"/>
              <w:autoSpaceDN w:val="0"/>
              <w:jc w:val="center"/>
              <w:rPr>
                <w:rFonts w:hAnsi="宋体"/>
                <w:spacing w:val="-10"/>
                <w:szCs w:val="21"/>
              </w:rPr>
            </w:pPr>
            <w:r>
              <w:rPr>
                <w:rFonts w:hint="eastAsia" w:hAnsi="宋体"/>
                <w:spacing w:val="-10"/>
                <w:szCs w:val="21"/>
              </w:rPr>
              <w:t>大纲</w:t>
            </w:r>
          </w:p>
          <w:p>
            <w:pPr>
              <w:autoSpaceDE w:val="0"/>
              <w:autoSpaceDN w:val="0"/>
              <w:jc w:val="center"/>
              <w:rPr>
                <w:rFonts w:ascii="宋体" w:cs="宋体"/>
                <w:kern w:val="0"/>
                <w:szCs w:val="21"/>
              </w:rPr>
            </w:pPr>
            <w:r>
              <w:rPr>
                <w:rFonts w:hint="eastAsia" w:hAnsi="宋体"/>
                <w:spacing w:val="-10"/>
                <w:szCs w:val="21"/>
              </w:rPr>
              <w:t>和措施</w:t>
            </w:r>
          </w:p>
        </w:tc>
        <w:tc>
          <w:tcPr>
            <w:tcW w:w="496" w:type="pct"/>
            <w:gridSpan w:val="2"/>
            <w:vMerge w:val="restart"/>
            <w:tcBorders>
              <w:left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szCs w:val="21"/>
              </w:rPr>
              <w:t>对本项目监理工作范围和任务理解</w:t>
            </w:r>
          </w:p>
        </w:tc>
        <w:tc>
          <w:tcPr>
            <w:tcW w:w="264" w:type="pct"/>
            <w:vMerge w:val="restart"/>
            <w:tcBorders>
              <w:left w:val="single" w:color="auto" w:sz="4" w:space="0"/>
              <w:right w:val="single" w:color="auto" w:sz="4" w:space="0"/>
            </w:tcBorders>
            <w:vAlign w:val="center"/>
          </w:tcPr>
          <w:p>
            <w:pPr>
              <w:autoSpaceDE w:val="0"/>
              <w:autoSpaceDN w:val="0"/>
              <w:jc w:val="center"/>
              <w:rPr>
                <w:rFonts w:ascii="宋体" w:cs="宋体"/>
                <w:kern w:val="0"/>
                <w:szCs w:val="21"/>
              </w:rPr>
            </w:pPr>
            <w:r>
              <w:rPr>
                <w:rFonts w:ascii="宋体" w:hAnsi="宋体"/>
                <w:szCs w:val="21"/>
              </w:rPr>
              <w:t>10</w:t>
            </w:r>
            <w:r>
              <w:rPr>
                <w:rFonts w:hint="eastAsia" w:ascii="宋体" w:hAnsi="宋体"/>
                <w:szCs w:val="21"/>
              </w:rPr>
              <w:t>分</w:t>
            </w:r>
          </w:p>
        </w:tc>
        <w:tc>
          <w:tcPr>
            <w:tcW w:w="2932" w:type="pct"/>
            <w:tcBorders>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理解基本准确，得</w:t>
            </w:r>
            <w:r>
              <w:rPr>
                <w:rFonts w:ascii="宋体" w:hAnsi="宋体"/>
                <w:szCs w:val="21"/>
              </w:rPr>
              <w:t>6</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316" w:type="pct"/>
            <w:vMerge w:val="continue"/>
            <w:tcBorders>
              <w:right w:val="single" w:color="auto" w:sz="4" w:space="0"/>
            </w:tcBorders>
            <w:vAlign w:val="center"/>
          </w:tcPr>
          <w:p>
            <w:pPr>
              <w:pStyle w:val="5"/>
              <w:jc w:val="left"/>
              <w:rPr>
                <w:rFonts w:hAnsi="宋体"/>
                <w:szCs w:val="21"/>
              </w:rPr>
            </w:pPr>
          </w:p>
        </w:tc>
        <w:tc>
          <w:tcPr>
            <w:tcW w:w="496" w:type="pct"/>
            <w:gridSpan w:val="2"/>
            <w:vMerge w:val="continue"/>
            <w:tcBorders>
              <w:left w:val="single" w:color="auto" w:sz="4" w:space="0"/>
              <w:right w:val="single" w:color="auto" w:sz="4" w:space="0"/>
            </w:tcBorders>
            <w:vAlign w:val="center"/>
          </w:tcPr>
          <w:p>
            <w:pPr>
              <w:pStyle w:val="5"/>
              <w:jc w:val="left"/>
              <w:rPr>
                <w:rFonts w:hAnsi="宋体"/>
                <w:szCs w:val="21"/>
              </w:rPr>
            </w:pPr>
          </w:p>
        </w:tc>
        <w:tc>
          <w:tcPr>
            <w:tcW w:w="264" w:type="pct"/>
            <w:vMerge w:val="continue"/>
            <w:tcBorders>
              <w:left w:val="single" w:color="auto" w:sz="4" w:space="0"/>
              <w:right w:val="single" w:color="auto" w:sz="4" w:space="0"/>
            </w:tcBorders>
            <w:vAlign w:val="center"/>
          </w:tcPr>
          <w:p>
            <w:pPr>
              <w:pStyle w:val="5"/>
              <w:rPr>
                <w:rFonts w:hAns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理解较准确，思路较清晰，得</w:t>
            </w: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316" w:type="pct"/>
            <w:vMerge w:val="continue"/>
            <w:tcBorders>
              <w:right w:val="single" w:color="auto" w:sz="4" w:space="0"/>
            </w:tcBorders>
            <w:vAlign w:val="center"/>
          </w:tcPr>
          <w:p>
            <w:pPr>
              <w:pStyle w:val="5"/>
              <w:jc w:val="left"/>
              <w:rPr>
                <w:rFonts w:hAnsi="宋体"/>
                <w:szCs w:val="21"/>
              </w:rPr>
            </w:pPr>
          </w:p>
        </w:tc>
        <w:tc>
          <w:tcPr>
            <w:tcW w:w="496" w:type="pct"/>
            <w:gridSpan w:val="2"/>
            <w:vMerge w:val="continue"/>
            <w:tcBorders>
              <w:left w:val="single" w:color="auto" w:sz="4" w:space="0"/>
              <w:bottom w:val="single" w:color="auto" w:sz="4" w:space="0"/>
              <w:right w:val="single" w:color="auto" w:sz="4" w:space="0"/>
            </w:tcBorders>
            <w:vAlign w:val="center"/>
          </w:tcPr>
          <w:p>
            <w:pPr>
              <w:pStyle w:val="5"/>
              <w:jc w:val="left"/>
              <w:rPr>
                <w:rFonts w:hAnsi="宋体"/>
                <w:szCs w:val="21"/>
              </w:rPr>
            </w:pPr>
          </w:p>
        </w:tc>
        <w:tc>
          <w:tcPr>
            <w:tcW w:w="264" w:type="pct"/>
            <w:vMerge w:val="continue"/>
            <w:tcBorders>
              <w:left w:val="single" w:color="auto" w:sz="4" w:space="0"/>
              <w:bottom w:val="single" w:color="auto" w:sz="4" w:space="0"/>
              <w:right w:val="single" w:color="auto" w:sz="4" w:space="0"/>
            </w:tcBorders>
            <w:vAlign w:val="center"/>
          </w:tcPr>
          <w:p>
            <w:pPr>
              <w:pStyle w:val="5"/>
              <w:rPr>
                <w:rFonts w:hAns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理解准确，思路清晰，全面、合理，符合项目要求，得</w:t>
            </w:r>
            <w:r>
              <w:rPr>
                <w:rFonts w:ascii="宋体" w:hAnsi="宋体"/>
                <w:szCs w:val="21"/>
              </w:rPr>
              <w:t>8</w:t>
            </w:r>
            <w:r>
              <w:rPr>
                <w:rFonts w:hint="eastAsia" w:ascii="宋体" w:hAnsi="宋体"/>
                <w:szCs w:val="21"/>
              </w:rPr>
              <w:t>－</w:t>
            </w:r>
            <w:r>
              <w:rPr>
                <w:rFonts w:ascii="宋体" w:hAnsi="宋体"/>
                <w:szCs w:val="21"/>
              </w:rPr>
              <w:t>10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316" w:type="pct"/>
            <w:vMerge w:val="continue"/>
            <w:tcBorders>
              <w:right w:val="single" w:color="auto" w:sz="4" w:space="0"/>
            </w:tcBorders>
            <w:vAlign w:val="center"/>
          </w:tcPr>
          <w:p>
            <w:pPr>
              <w:pStyle w:val="5"/>
              <w:jc w:val="left"/>
              <w:rPr>
                <w:rFonts w:hAnsi="宋体"/>
                <w:szCs w:val="21"/>
              </w:rPr>
            </w:pPr>
          </w:p>
        </w:tc>
        <w:tc>
          <w:tcPr>
            <w:tcW w:w="496" w:type="pct"/>
            <w:gridSpan w:val="2"/>
            <w:vMerge w:val="restart"/>
            <w:tcBorders>
              <w:top w:val="single" w:color="auto" w:sz="4" w:space="0"/>
              <w:left w:val="single" w:color="auto" w:sz="4" w:space="0"/>
              <w:right w:val="single" w:color="auto" w:sz="4" w:space="0"/>
            </w:tcBorders>
            <w:vAlign w:val="center"/>
          </w:tcPr>
          <w:p>
            <w:pPr>
              <w:pStyle w:val="5"/>
              <w:jc w:val="left"/>
              <w:rPr>
                <w:rFonts w:hAnsi="宋体"/>
                <w:szCs w:val="21"/>
              </w:rPr>
            </w:pPr>
            <w:r>
              <w:rPr>
                <w:rFonts w:hint="eastAsia" w:hAnsi="宋体"/>
                <w:szCs w:val="21"/>
              </w:rPr>
              <w:t>监理工作程序</w:t>
            </w:r>
          </w:p>
        </w:tc>
        <w:tc>
          <w:tcPr>
            <w:tcW w:w="264" w:type="pct"/>
            <w:vMerge w:val="restart"/>
            <w:tcBorders>
              <w:top w:val="single" w:color="auto" w:sz="4" w:space="0"/>
              <w:left w:val="single" w:color="auto" w:sz="4" w:space="0"/>
              <w:right w:val="single" w:color="auto" w:sz="4" w:space="0"/>
            </w:tcBorders>
            <w:vAlign w:val="center"/>
          </w:tcPr>
          <w:p>
            <w:pPr>
              <w:pStyle w:val="5"/>
              <w:rPr>
                <w:rFonts w:hAnsi="宋体" w:cs="宋体"/>
                <w:kern w:val="0"/>
                <w:szCs w:val="21"/>
              </w:rPr>
            </w:pPr>
            <w:r>
              <w:rPr>
                <w:rFonts w:hAnsi="宋体"/>
                <w:szCs w:val="21"/>
              </w:rPr>
              <w:t>10</w:t>
            </w:r>
            <w:r>
              <w:rPr>
                <w:rFonts w:hint="eastAsia" w:hAnsi="宋体"/>
                <w:szCs w:val="21"/>
              </w:rPr>
              <w:t>分</w:t>
            </w: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内容基本齐全，阶段划分基本合理，可实施性一般，得</w:t>
            </w:r>
            <w:r>
              <w:rPr>
                <w:rFonts w:ascii="宋体" w:hAnsi="宋体"/>
                <w:szCs w:val="21"/>
              </w:rPr>
              <w:t>6</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316" w:type="pct"/>
            <w:vMerge w:val="continue"/>
            <w:tcBorders>
              <w:right w:val="single" w:color="auto" w:sz="4" w:space="0"/>
            </w:tcBorders>
            <w:vAlign w:val="center"/>
          </w:tcPr>
          <w:p>
            <w:pPr>
              <w:pStyle w:val="5"/>
              <w:jc w:val="left"/>
              <w:rPr>
                <w:rFonts w:hAnsi="宋体"/>
                <w:szCs w:val="21"/>
              </w:rPr>
            </w:pPr>
          </w:p>
        </w:tc>
        <w:tc>
          <w:tcPr>
            <w:tcW w:w="496" w:type="pct"/>
            <w:gridSpan w:val="2"/>
            <w:vMerge w:val="continue"/>
            <w:tcBorders>
              <w:left w:val="single" w:color="auto" w:sz="4" w:space="0"/>
              <w:right w:val="single" w:color="auto" w:sz="4" w:space="0"/>
            </w:tcBorders>
            <w:vAlign w:val="center"/>
          </w:tcPr>
          <w:p>
            <w:pPr>
              <w:pStyle w:val="5"/>
              <w:jc w:val="left"/>
              <w:rPr>
                <w:rFonts w:hAnsi="宋体"/>
                <w:szCs w:val="21"/>
              </w:rPr>
            </w:pPr>
          </w:p>
        </w:tc>
        <w:tc>
          <w:tcPr>
            <w:tcW w:w="264" w:type="pct"/>
            <w:vMerge w:val="continue"/>
            <w:tcBorders>
              <w:left w:val="single" w:color="auto" w:sz="4" w:space="0"/>
              <w:right w:val="single" w:color="auto" w:sz="4" w:space="0"/>
            </w:tcBorders>
            <w:vAlign w:val="center"/>
          </w:tcPr>
          <w:p>
            <w:pPr>
              <w:pStyle w:val="5"/>
              <w:rPr>
                <w:rFonts w:hAns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内容较齐全，阶段划分较合理，可实施性较好，得</w:t>
            </w: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316" w:type="pct"/>
            <w:vMerge w:val="continue"/>
            <w:tcBorders>
              <w:bottom w:val="single" w:color="auto" w:sz="4" w:space="0"/>
              <w:right w:val="single" w:color="auto" w:sz="4" w:space="0"/>
            </w:tcBorders>
            <w:vAlign w:val="center"/>
          </w:tcPr>
          <w:p>
            <w:pPr>
              <w:autoSpaceDE w:val="0"/>
              <w:autoSpaceDN w:val="0"/>
              <w:jc w:val="center"/>
              <w:rPr>
                <w:rFonts w:ascii="宋体" w:cs="宋体"/>
                <w:kern w:val="0"/>
                <w:szCs w:val="21"/>
              </w:rPr>
            </w:pPr>
          </w:p>
        </w:tc>
        <w:tc>
          <w:tcPr>
            <w:tcW w:w="496" w:type="pct"/>
            <w:gridSpan w:val="2"/>
            <w:vMerge w:val="continue"/>
            <w:tcBorders>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p>
        </w:tc>
        <w:tc>
          <w:tcPr>
            <w:tcW w:w="264" w:type="pct"/>
            <w:vMerge w:val="continue"/>
            <w:tcBorders>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内容齐全，阶段划分合理、正确，可实施性强，得</w:t>
            </w:r>
            <w:r>
              <w:rPr>
                <w:rFonts w:ascii="宋体" w:hAnsi="宋体"/>
                <w:szCs w:val="21"/>
              </w:rPr>
              <w:t>8</w:t>
            </w:r>
            <w:r>
              <w:rPr>
                <w:rFonts w:hint="eastAsia" w:ascii="宋体" w:hAnsi="宋体"/>
                <w:szCs w:val="21"/>
              </w:rPr>
              <w:t>－</w:t>
            </w:r>
            <w:r>
              <w:rPr>
                <w:rFonts w:ascii="宋体" w:hAnsi="宋体"/>
                <w:szCs w:val="21"/>
              </w:rPr>
              <w:t>10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restart"/>
            <w:tcBorders>
              <w:top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cs="宋体"/>
                <w:kern w:val="0"/>
                <w:szCs w:val="21"/>
              </w:rPr>
              <w:t>本工程监理工作的</w:t>
            </w:r>
            <w:r>
              <w:rPr>
                <w:rFonts w:hint="eastAsia" w:ascii="宋体" w:hAnsi="宋体"/>
                <w:spacing w:val="-12"/>
                <w:szCs w:val="21"/>
              </w:rPr>
              <w:t>重点与难点分析</w:t>
            </w:r>
          </w:p>
        </w:tc>
        <w:tc>
          <w:tcPr>
            <w:tcW w:w="264" w:type="pct"/>
            <w:vMerge w:val="restart"/>
            <w:tcBorders>
              <w:top w:val="single" w:color="auto" w:sz="4" w:space="0"/>
              <w:left w:val="single" w:color="auto" w:sz="4" w:space="0"/>
              <w:right w:val="single" w:color="auto" w:sz="4" w:space="0"/>
            </w:tcBorders>
            <w:vAlign w:val="center"/>
          </w:tcPr>
          <w:p>
            <w:pPr>
              <w:autoSpaceDE w:val="0"/>
              <w:autoSpaceDN w:val="0"/>
              <w:jc w:val="center"/>
              <w:rPr>
                <w:rFonts w:ascii="宋体" w:cs="宋体"/>
                <w:kern w:val="0"/>
                <w:szCs w:val="21"/>
              </w:rPr>
            </w:pPr>
            <w:r>
              <w:rPr>
                <w:rFonts w:ascii="宋体" w:hAnsi="宋体"/>
                <w:spacing w:val="-12"/>
                <w:szCs w:val="21"/>
              </w:rPr>
              <w:t>10</w:t>
            </w:r>
            <w:r>
              <w:rPr>
                <w:rFonts w:hint="eastAsia" w:ascii="宋体" w:hAnsi="宋体"/>
                <w:spacing w:val="-12"/>
                <w:szCs w:val="21"/>
              </w:rPr>
              <w:t>分</w:t>
            </w: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分析一般，对难点、重点把握一般；处理措施基本合理，基本可行，得</w:t>
            </w:r>
            <w:r>
              <w:rPr>
                <w:rFonts w:ascii="宋体" w:hAnsi="宋体"/>
                <w:szCs w:val="21"/>
              </w:rPr>
              <w:t>6</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continue"/>
            <w:tcBorders>
              <w:right w:val="single" w:color="auto" w:sz="4" w:space="0"/>
            </w:tcBorders>
            <w:vAlign w:val="center"/>
          </w:tcPr>
          <w:p>
            <w:pPr>
              <w:autoSpaceDE w:val="0"/>
              <w:autoSpaceDN w:val="0"/>
              <w:jc w:val="center"/>
              <w:rPr>
                <w:rFonts w:ascii="宋体" w:cs="宋体"/>
                <w:kern w:val="0"/>
                <w:szCs w:val="21"/>
              </w:rPr>
            </w:pPr>
          </w:p>
        </w:tc>
        <w:tc>
          <w:tcPr>
            <w:tcW w:w="264" w:type="pct"/>
            <w:vMerge w:val="continue"/>
            <w:tcBorders>
              <w:left w:val="single" w:color="auto" w:sz="4" w:space="0"/>
              <w:right w:val="single" w:color="auto" w:sz="4" w:space="0"/>
            </w:tcBorders>
            <w:vAlign w:val="center"/>
          </w:tcPr>
          <w:p>
            <w:pPr>
              <w:autoSpaceDE w:val="0"/>
              <w:autoSpaceDN w:val="0"/>
              <w:jc w:val="center"/>
              <w:rPr>
                <w:rFonts w:asci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分析较透彻，对难点、重点把握较准确；处理措施合理，可行，得</w:t>
            </w:r>
            <w:r>
              <w:rPr>
                <w:rFonts w:ascii="宋体" w:hAnsi="宋体"/>
                <w:szCs w:val="21"/>
              </w:rPr>
              <w:t>6</w:t>
            </w:r>
            <w:r>
              <w:rPr>
                <w:rFonts w:hint="eastAsia" w:ascii="宋体" w:hAnsi="宋体"/>
                <w:szCs w:val="21"/>
              </w:rPr>
              <w:t>－</w:t>
            </w:r>
            <w:r>
              <w:rPr>
                <w:rFonts w:ascii="宋体" w:hAnsi="宋体"/>
                <w:szCs w:val="21"/>
              </w:rPr>
              <w:t>8</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continue"/>
            <w:tcBorders>
              <w:bottom w:val="single" w:color="auto" w:sz="4" w:space="0"/>
              <w:right w:val="single" w:color="auto" w:sz="4" w:space="0"/>
            </w:tcBorders>
            <w:vAlign w:val="center"/>
          </w:tcPr>
          <w:p>
            <w:pPr>
              <w:autoSpaceDE w:val="0"/>
              <w:autoSpaceDN w:val="0"/>
              <w:jc w:val="center"/>
              <w:rPr>
                <w:rFonts w:ascii="宋体" w:cs="宋体"/>
                <w:kern w:val="0"/>
                <w:szCs w:val="21"/>
              </w:rPr>
            </w:pPr>
          </w:p>
        </w:tc>
        <w:tc>
          <w:tcPr>
            <w:tcW w:w="264" w:type="pct"/>
            <w:vMerge w:val="continue"/>
            <w:tcBorders>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分析透彻，对难点、重点把握准确；处理措施科学合理，有效可行，得</w:t>
            </w:r>
            <w:r>
              <w:rPr>
                <w:rFonts w:ascii="宋体" w:hAnsi="宋体"/>
                <w:szCs w:val="21"/>
              </w:rPr>
              <w:t>8</w:t>
            </w:r>
            <w:r>
              <w:rPr>
                <w:rFonts w:hint="eastAsia" w:ascii="宋体" w:hAnsi="宋体"/>
                <w:szCs w:val="21"/>
              </w:rPr>
              <w:t>－</w:t>
            </w:r>
            <w:r>
              <w:rPr>
                <w:rFonts w:ascii="宋体" w:hAnsi="宋体"/>
                <w:szCs w:val="21"/>
              </w:rPr>
              <w:t>10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restart"/>
            <w:tcBorders>
              <w:top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cs="宋体"/>
                <w:kern w:val="0"/>
                <w:szCs w:val="21"/>
              </w:rPr>
              <w:t>对本工程的建议</w:t>
            </w:r>
          </w:p>
        </w:tc>
        <w:tc>
          <w:tcPr>
            <w:tcW w:w="264" w:type="pct"/>
            <w:vMerge w:val="restart"/>
            <w:tcBorders>
              <w:top w:val="single" w:color="auto" w:sz="4" w:space="0"/>
              <w:left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szCs w:val="21"/>
              </w:rPr>
              <w:t>5分</w:t>
            </w: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建议措施基本全面、合理，可实施性一般，得3分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continue"/>
            <w:tcBorders>
              <w:right w:val="single" w:color="auto" w:sz="4" w:space="0"/>
            </w:tcBorders>
            <w:vAlign w:val="center"/>
          </w:tcPr>
          <w:p>
            <w:pPr>
              <w:autoSpaceDE w:val="0"/>
              <w:autoSpaceDN w:val="0"/>
              <w:jc w:val="center"/>
              <w:rPr>
                <w:rFonts w:ascii="宋体" w:cs="宋体"/>
                <w:kern w:val="0"/>
                <w:szCs w:val="21"/>
              </w:rPr>
            </w:pPr>
          </w:p>
        </w:tc>
        <w:tc>
          <w:tcPr>
            <w:tcW w:w="264" w:type="pct"/>
            <w:vMerge w:val="continue"/>
            <w:tcBorders>
              <w:left w:val="single" w:color="auto" w:sz="4" w:space="0"/>
              <w:right w:val="single" w:color="auto" w:sz="4" w:space="0"/>
            </w:tcBorders>
            <w:vAlign w:val="center"/>
          </w:tcPr>
          <w:p>
            <w:pPr>
              <w:autoSpaceDE w:val="0"/>
              <w:autoSpaceDN w:val="0"/>
              <w:jc w:val="center"/>
              <w:rPr>
                <w:rFonts w:ascii="宋体" w:cs="宋体"/>
                <w:kern w:val="0"/>
                <w:szCs w:val="21"/>
              </w:rPr>
            </w:pPr>
          </w:p>
        </w:tc>
        <w:tc>
          <w:tcPr>
            <w:tcW w:w="2932" w:type="pct"/>
            <w:tcBorders>
              <w:top w:val="single" w:color="auto" w:sz="4" w:space="0"/>
              <w:left w:val="single" w:color="auto" w:sz="4" w:space="0"/>
              <w:bottom w:val="single" w:color="auto" w:sz="4" w:space="0"/>
            </w:tcBorders>
            <w:vAlign w:val="center"/>
          </w:tcPr>
          <w:p>
            <w:pPr>
              <w:adjustRightInd w:val="0"/>
              <w:snapToGrid w:val="0"/>
              <w:spacing w:line="360" w:lineRule="exact"/>
              <w:rPr>
                <w:rFonts w:ascii="宋体"/>
                <w:szCs w:val="21"/>
              </w:rPr>
            </w:pPr>
            <w:r>
              <w:rPr>
                <w:rFonts w:hint="eastAsia" w:ascii="宋体" w:hAnsi="宋体"/>
                <w:szCs w:val="21"/>
              </w:rPr>
              <w:t>建议措施全面、合理，可实施性较好，得3－4分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rPr>
                <w:rFonts w:ascii="宋体" w:cs="宋体"/>
                <w:kern w:val="0"/>
                <w:szCs w:val="21"/>
              </w:rPr>
            </w:pPr>
          </w:p>
        </w:tc>
        <w:tc>
          <w:tcPr>
            <w:tcW w:w="812" w:type="pct"/>
            <w:gridSpan w:val="3"/>
            <w:vMerge w:val="continue"/>
            <w:tcBorders>
              <w:right w:val="single" w:color="auto" w:sz="4" w:space="0"/>
            </w:tcBorders>
            <w:vAlign w:val="center"/>
          </w:tcPr>
          <w:p>
            <w:pPr>
              <w:autoSpaceDE w:val="0"/>
              <w:autoSpaceDN w:val="0"/>
              <w:jc w:val="center"/>
              <w:rPr>
                <w:rFonts w:ascii="宋体" w:cs="宋体"/>
                <w:kern w:val="0"/>
                <w:szCs w:val="21"/>
              </w:rPr>
            </w:pPr>
          </w:p>
        </w:tc>
        <w:tc>
          <w:tcPr>
            <w:tcW w:w="264" w:type="pct"/>
            <w:vMerge w:val="continue"/>
            <w:tcBorders>
              <w:left w:val="single" w:color="auto" w:sz="4" w:space="0"/>
              <w:right w:val="single" w:color="auto" w:sz="4" w:space="0"/>
            </w:tcBorders>
            <w:vAlign w:val="center"/>
          </w:tcPr>
          <w:p>
            <w:pPr>
              <w:autoSpaceDE w:val="0"/>
              <w:autoSpaceDN w:val="0"/>
              <w:jc w:val="center"/>
              <w:rPr>
                <w:rFonts w:ascii="宋体" w:cs="宋体"/>
                <w:kern w:val="0"/>
                <w:szCs w:val="21"/>
              </w:rPr>
            </w:pPr>
          </w:p>
        </w:tc>
        <w:tc>
          <w:tcPr>
            <w:tcW w:w="2932" w:type="pct"/>
            <w:tcBorders>
              <w:top w:val="single" w:color="auto" w:sz="4" w:space="0"/>
              <w:left w:val="single" w:color="auto" w:sz="4" w:space="0"/>
            </w:tcBorders>
            <w:vAlign w:val="center"/>
          </w:tcPr>
          <w:p>
            <w:pPr>
              <w:adjustRightInd w:val="0"/>
              <w:snapToGrid w:val="0"/>
              <w:spacing w:line="360" w:lineRule="exact"/>
              <w:rPr>
                <w:rFonts w:ascii="宋体"/>
                <w:szCs w:val="21"/>
              </w:rPr>
            </w:pPr>
            <w:r>
              <w:rPr>
                <w:rFonts w:hint="eastAsia" w:ascii="宋体" w:hAnsi="宋体"/>
                <w:szCs w:val="21"/>
              </w:rPr>
              <w:t>建议措施具体全面、可靠、合理，可实施性强，得4－5分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atLeast"/>
        </w:trPr>
        <w:tc>
          <w:tcPr>
            <w:tcW w:w="285" w:type="pct"/>
            <w:vMerge w:val="restart"/>
            <w:vAlign w:val="center"/>
          </w:tcPr>
          <w:p>
            <w:pPr>
              <w:autoSpaceDE w:val="0"/>
              <w:autoSpaceDN w:val="0"/>
              <w:rPr>
                <w:rFonts w:ascii="宋体" w:cs="宋体"/>
                <w:color w:val="000000"/>
                <w:kern w:val="0"/>
                <w:szCs w:val="21"/>
              </w:rPr>
            </w:pPr>
            <w:r>
              <w:rPr>
                <w:rFonts w:ascii="宋体" w:hAnsi="宋体" w:cs="宋体"/>
                <w:color w:val="000000"/>
                <w:kern w:val="0"/>
                <w:szCs w:val="21"/>
              </w:rPr>
              <w:t>2.2.4</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p>
        </w:tc>
        <w:tc>
          <w:tcPr>
            <w:tcW w:w="401" w:type="pct"/>
            <w:vMerge w:val="restart"/>
            <w:vAlign w:val="center"/>
          </w:tcPr>
          <w:p>
            <w:pPr>
              <w:autoSpaceDE w:val="0"/>
              <w:autoSpaceDN w:val="0"/>
              <w:jc w:val="center"/>
              <w:rPr>
                <w:rFonts w:ascii="宋体" w:cs="宋体"/>
                <w:color w:val="000000"/>
                <w:kern w:val="0"/>
                <w:szCs w:val="21"/>
              </w:rPr>
            </w:pPr>
            <w:r>
              <w:rPr>
                <w:rFonts w:hint="eastAsia" w:ascii="宋体" w:hAnsi="宋体" w:cs="宋体"/>
                <w:color w:val="000000"/>
                <w:kern w:val="0"/>
                <w:szCs w:val="21"/>
              </w:rPr>
              <w:t>主要</w:t>
            </w:r>
          </w:p>
          <w:p>
            <w:pPr>
              <w:autoSpaceDE w:val="0"/>
              <w:autoSpaceDN w:val="0"/>
              <w:jc w:val="center"/>
              <w:rPr>
                <w:rFonts w:ascii="宋体" w:cs="宋体"/>
                <w:color w:val="000000"/>
                <w:kern w:val="0"/>
                <w:szCs w:val="21"/>
              </w:rPr>
            </w:pPr>
            <w:r>
              <w:rPr>
                <w:rFonts w:hint="eastAsia" w:ascii="宋体" w:hAnsi="宋体" w:cs="宋体"/>
                <w:color w:val="000000"/>
                <w:kern w:val="0"/>
                <w:szCs w:val="21"/>
              </w:rPr>
              <w:t>人员</w:t>
            </w:r>
          </w:p>
        </w:tc>
        <w:tc>
          <w:tcPr>
            <w:tcW w:w="306" w:type="pct"/>
            <w:gridSpan w:val="2"/>
            <w:vMerge w:val="restart"/>
            <w:vAlign w:val="center"/>
          </w:tcPr>
          <w:p>
            <w:pPr>
              <w:autoSpaceDE w:val="0"/>
              <w:autoSpaceDN w:val="0"/>
              <w:jc w:val="center"/>
              <w:rPr>
                <w:rFonts w:ascii="宋体" w:cs="宋体"/>
                <w:color w:val="000000"/>
                <w:kern w:val="0"/>
                <w:szCs w:val="21"/>
              </w:rPr>
            </w:pPr>
          </w:p>
          <w:p>
            <w:pPr>
              <w:autoSpaceDE w:val="0"/>
              <w:autoSpaceDN w:val="0"/>
              <w:jc w:val="center"/>
              <w:rPr>
                <w:rFonts w:ascii="宋体" w:cs="宋体"/>
                <w:color w:val="000000"/>
                <w:kern w:val="0"/>
                <w:szCs w:val="21"/>
              </w:rPr>
            </w:pPr>
            <w:r>
              <w:rPr>
                <w:rFonts w:hint="eastAsia" w:ascii="宋体" w:hAnsi="宋体" w:cs="宋体"/>
                <w:color w:val="000000"/>
                <w:kern w:val="0"/>
                <w:szCs w:val="21"/>
              </w:rPr>
              <w:t>30分</w:t>
            </w:r>
          </w:p>
          <w:p>
            <w:pPr>
              <w:autoSpaceDE w:val="0"/>
              <w:autoSpaceDN w:val="0"/>
              <w:jc w:val="center"/>
              <w:rPr>
                <w:rFonts w:ascii="宋体" w:cs="宋体"/>
                <w:color w:val="000000"/>
                <w:kern w:val="0"/>
                <w:szCs w:val="21"/>
              </w:rPr>
            </w:pPr>
          </w:p>
        </w:tc>
        <w:tc>
          <w:tcPr>
            <w:tcW w:w="443" w:type="pct"/>
            <w:gridSpan w:val="2"/>
            <w:vMerge w:val="restart"/>
            <w:tcBorders>
              <w:top w:val="single" w:color="auto" w:sz="4" w:space="0"/>
              <w:right w:val="single" w:color="auto" w:sz="4" w:space="0"/>
            </w:tcBorders>
            <w:vAlign w:val="center"/>
          </w:tcPr>
          <w:p>
            <w:pPr>
              <w:autoSpaceDE w:val="0"/>
              <w:autoSpaceDN w:val="0"/>
              <w:jc w:val="center"/>
              <w:rPr>
                <w:rFonts w:ascii="宋体" w:cs="宋体"/>
                <w:color w:val="000000"/>
                <w:kern w:val="0"/>
                <w:szCs w:val="21"/>
              </w:rPr>
            </w:pPr>
            <w:r>
              <w:rPr>
                <w:rFonts w:hint="eastAsia" w:ascii="宋体" w:hAnsi="宋体" w:cs="宋体"/>
                <w:color w:val="000000"/>
                <w:kern w:val="0"/>
                <w:szCs w:val="21"/>
              </w:rPr>
              <w:t>主要人员</w:t>
            </w:r>
          </w:p>
        </w:tc>
        <w:tc>
          <w:tcPr>
            <w:tcW w:w="36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szCs w:val="21"/>
              </w:rPr>
              <w:t>满足强制性标准</w:t>
            </w:r>
          </w:p>
        </w:tc>
        <w:tc>
          <w:tcPr>
            <w:tcW w:w="264" w:type="pct"/>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18分</w:t>
            </w:r>
          </w:p>
        </w:tc>
        <w:tc>
          <w:tcPr>
            <w:tcW w:w="2932" w:type="pct"/>
            <w:tcBorders>
              <w:top w:val="single" w:color="auto" w:sz="4" w:space="0"/>
              <w:left w:val="single" w:color="auto" w:sz="4" w:space="0"/>
              <w:bottom w:val="single" w:color="auto" w:sz="4" w:space="0"/>
            </w:tcBorders>
            <w:vAlign w:val="center"/>
          </w:tcPr>
          <w:p>
            <w:pPr>
              <w:rPr>
                <w:rFonts w:ascii="宋体"/>
                <w:szCs w:val="21"/>
              </w:rPr>
            </w:pPr>
            <w:r>
              <w:rPr>
                <w:rFonts w:hint="eastAsia"/>
              </w:rPr>
              <w:t>满足资格审查条件（主要人员最低要求），得18分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77" w:hRule="atLeast"/>
        </w:trPr>
        <w:tc>
          <w:tcPr>
            <w:tcW w:w="285" w:type="pct"/>
            <w:vMerge w:val="continue"/>
            <w:vAlign w:val="center"/>
          </w:tcPr>
          <w:p>
            <w:pPr>
              <w:autoSpaceDE w:val="0"/>
              <w:autoSpaceDN w:val="0"/>
              <w:rPr>
                <w:rFonts w:ascii="宋体" w:cs="宋体"/>
                <w:kern w:val="0"/>
                <w:szCs w:val="21"/>
              </w:rPr>
            </w:pPr>
          </w:p>
        </w:tc>
        <w:tc>
          <w:tcPr>
            <w:tcW w:w="401" w:type="pct"/>
            <w:vMerge w:val="continue"/>
            <w:vAlign w:val="center"/>
          </w:tcPr>
          <w:p>
            <w:pPr>
              <w:autoSpaceDE w:val="0"/>
              <w:autoSpaceDN w:val="0"/>
              <w:rPr>
                <w:rFonts w:ascii="宋体" w:cs="宋体"/>
                <w:kern w:val="0"/>
                <w:szCs w:val="21"/>
              </w:rPr>
            </w:pPr>
          </w:p>
        </w:tc>
        <w:tc>
          <w:tcPr>
            <w:tcW w:w="306" w:type="pct"/>
            <w:gridSpan w:val="2"/>
            <w:vMerge w:val="continue"/>
            <w:vAlign w:val="center"/>
          </w:tcPr>
          <w:p>
            <w:pPr>
              <w:autoSpaceDE w:val="0"/>
              <w:autoSpaceDN w:val="0"/>
              <w:jc w:val="center"/>
              <w:rPr>
                <w:rFonts w:ascii="宋体" w:cs="宋体"/>
                <w:kern w:val="0"/>
                <w:szCs w:val="21"/>
              </w:rPr>
            </w:pPr>
          </w:p>
        </w:tc>
        <w:tc>
          <w:tcPr>
            <w:tcW w:w="443" w:type="pct"/>
            <w:gridSpan w:val="2"/>
            <w:vMerge w:val="continue"/>
            <w:tcBorders>
              <w:right w:val="single" w:color="auto" w:sz="4" w:space="0"/>
            </w:tcBorders>
            <w:vAlign w:val="center"/>
          </w:tcPr>
          <w:p>
            <w:pPr>
              <w:autoSpaceDE w:val="0"/>
              <w:autoSpaceDN w:val="0"/>
              <w:rPr>
                <w:rFonts w:ascii="宋体" w:cs="宋体"/>
                <w:kern w:val="0"/>
                <w:szCs w:val="21"/>
              </w:rPr>
            </w:pPr>
          </w:p>
        </w:tc>
        <w:tc>
          <w:tcPr>
            <w:tcW w:w="369" w:type="pct"/>
            <w:tcBorders>
              <w:top w:val="single" w:color="auto" w:sz="4" w:space="0"/>
              <w:left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szCs w:val="21"/>
              </w:rPr>
              <w:t>加分</w:t>
            </w:r>
          </w:p>
        </w:tc>
        <w:tc>
          <w:tcPr>
            <w:tcW w:w="264" w:type="pct"/>
            <w:tcBorders>
              <w:top w:val="single" w:color="auto" w:sz="4" w:space="0"/>
              <w:left w:val="single" w:color="auto" w:sz="4" w:space="0"/>
              <w:right w:val="single" w:color="auto" w:sz="4" w:space="0"/>
            </w:tcBorders>
            <w:vAlign w:val="center"/>
          </w:tcPr>
          <w:p>
            <w:pPr>
              <w:pStyle w:val="5"/>
              <w:jc w:val="center"/>
              <w:rPr>
                <w:rFonts w:hAnsi="宋体"/>
                <w:szCs w:val="21"/>
              </w:rPr>
            </w:pPr>
            <w:r>
              <w:rPr>
                <w:rFonts w:hint="eastAsia" w:hAnsi="宋体"/>
                <w:szCs w:val="21"/>
              </w:rPr>
              <w:t>12分</w:t>
            </w:r>
          </w:p>
        </w:tc>
        <w:tc>
          <w:tcPr>
            <w:tcW w:w="2932" w:type="pct"/>
            <w:tcBorders>
              <w:top w:val="single" w:color="auto" w:sz="4" w:space="0"/>
              <w:left w:val="single" w:color="auto" w:sz="4" w:space="0"/>
            </w:tcBorders>
            <w:vAlign w:val="center"/>
          </w:tcPr>
          <w:p>
            <w:pPr>
              <w:pStyle w:val="5"/>
            </w:pPr>
            <w:r>
              <w:rPr>
                <w:rFonts w:hint="eastAsia"/>
              </w:rPr>
              <w:t>总监理工程师：近5年内（</w:t>
            </w:r>
            <w:r>
              <w:rPr>
                <w:rFonts w:hint="eastAsia"/>
                <w:szCs w:val="21"/>
              </w:rPr>
              <w:t>2017年9月1日至今，</w:t>
            </w:r>
            <w:r>
              <w:rPr>
                <w:rFonts w:hint="eastAsia"/>
              </w:rPr>
              <w:t>以交工时间为准）</w:t>
            </w:r>
            <w:r>
              <w:rPr>
                <w:rFonts w:hint="eastAsia" w:hAnsi="宋体" w:cs="宋体"/>
                <w:szCs w:val="21"/>
              </w:rPr>
              <w:t>每增加1个满足资格审查附录4要求</w:t>
            </w:r>
            <w:r>
              <w:rPr>
                <w:rFonts w:hint="eastAsia"/>
              </w:rPr>
              <w:t>的监理业绩，加6分，最多加12分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5" w:hRule="atLeast"/>
        </w:trPr>
        <w:tc>
          <w:tcPr>
            <w:tcW w:w="285" w:type="pct"/>
            <w:vAlign w:val="center"/>
          </w:tcPr>
          <w:p>
            <w:pPr>
              <w:autoSpaceDE w:val="0"/>
              <w:autoSpaceDN w:val="0"/>
              <w:rPr>
                <w:rFonts w:ascii="宋体" w:cs="宋体"/>
                <w:kern w:val="0"/>
                <w:szCs w:val="21"/>
              </w:rPr>
            </w:pPr>
            <w:r>
              <w:rPr>
                <w:rFonts w:ascii="宋体" w:hAnsi="宋体" w:cs="宋体"/>
                <w:kern w:val="0"/>
                <w:szCs w:val="21"/>
              </w:rPr>
              <w:t>2.2.4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p>
        </w:tc>
        <w:tc>
          <w:tcPr>
            <w:tcW w:w="401" w:type="pct"/>
            <w:vAlign w:val="center"/>
          </w:tcPr>
          <w:p>
            <w:pPr>
              <w:autoSpaceDE w:val="0"/>
              <w:autoSpaceDN w:val="0"/>
              <w:rPr>
                <w:rFonts w:ascii="宋体" w:cs="宋体"/>
                <w:kern w:val="0"/>
                <w:szCs w:val="21"/>
              </w:rPr>
            </w:pPr>
            <w:r>
              <w:rPr>
                <w:rFonts w:hint="eastAsia" w:ascii="宋体" w:hAnsi="宋体" w:cs="宋体"/>
                <w:kern w:val="0"/>
                <w:szCs w:val="21"/>
              </w:rPr>
              <w:t>评标价</w:t>
            </w:r>
          </w:p>
        </w:tc>
        <w:tc>
          <w:tcPr>
            <w:tcW w:w="306" w:type="pct"/>
            <w:gridSpan w:val="2"/>
            <w:vAlign w:val="center"/>
          </w:tcPr>
          <w:p>
            <w:pPr>
              <w:autoSpaceDE w:val="0"/>
              <w:autoSpaceDN w:val="0"/>
              <w:jc w:val="center"/>
              <w:rPr>
                <w:rFonts w:ascii="宋体" w:cs="宋体"/>
                <w:kern w:val="0"/>
                <w:szCs w:val="21"/>
              </w:rPr>
            </w:pPr>
            <w:r>
              <w:rPr>
                <w:rFonts w:ascii="宋体" w:hAnsi="宋体" w:cs="宋体"/>
                <w:kern w:val="0"/>
                <w:szCs w:val="21"/>
              </w:rPr>
              <w:t>10</w:t>
            </w:r>
            <w:r>
              <w:rPr>
                <w:rFonts w:hint="eastAsia" w:ascii="宋体" w:hAnsi="宋体" w:cs="宋体"/>
                <w:kern w:val="0"/>
                <w:szCs w:val="21"/>
              </w:rPr>
              <w:t>分</w:t>
            </w:r>
          </w:p>
        </w:tc>
        <w:tc>
          <w:tcPr>
            <w:tcW w:w="4008" w:type="pct"/>
            <w:gridSpan w:val="5"/>
            <w:tcBorders>
              <w:top w:val="single" w:color="auto" w:sz="4" w:space="0"/>
            </w:tcBorders>
            <w:vAlign w:val="center"/>
          </w:tcPr>
          <w:p>
            <w:pPr>
              <w:rPr>
                <w:rFonts w:ascii="宋体"/>
                <w:szCs w:val="21"/>
              </w:rPr>
            </w:pPr>
            <w:r>
              <w:rPr>
                <w:rFonts w:hint="eastAsia" w:ascii="宋体" w:hAnsi="宋体"/>
                <w:szCs w:val="21"/>
              </w:rPr>
              <w:t>投标价得分计算公式示例：</w:t>
            </w:r>
          </w:p>
          <w:p>
            <w:pPr>
              <w:rPr>
                <w:rFonts w:ascii="宋体"/>
                <w:szCs w:val="21"/>
              </w:rPr>
            </w:pPr>
            <w:r>
              <w:rPr>
                <w:rFonts w:hint="eastAsia" w:ascii="宋体" w:hAnsi="宋体"/>
                <w:szCs w:val="21"/>
              </w:rPr>
              <w:t>（</w:t>
            </w:r>
            <w:r>
              <w:rPr>
                <w:rFonts w:ascii="宋体" w:hAnsi="宋体"/>
                <w:szCs w:val="21"/>
              </w:rPr>
              <w:t>1</w:t>
            </w:r>
            <w:r>
              <w:rPr>
                <w:rFonts w:hint="eastAsia" w:ascii="宋体" w:hAnsi="宋体"/>
                <w:szCs w:val="21"/>
              </w:rPr>
              <w:t>）如果投标人的投标价＞评标基准价，则投标价得分</w:t>
            </w:r>
            <w:r>
              <w:rPr>
                <w:rFonts w:ascii="宋体" w:hAnsi="宋体"/>
                <w:szCs w:val="21"/>
              </w:rPr>
              <w:t>=F-</w:t>
            </w:r>
            <w:r>
              <w:rPr>
                <w:rFonts w:hint="eastAsia" w:ascii="宋体" w:hAnsi="宋体"/>
                <w:szCs w:val="21"/>
              </w:rPr>
              <w:t>（投标人投标价</w:t>
            </w:r>
            <w:r>
              <w:rPr>
                <w:rFonts w:asci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r>
              <w:rPr>
                <w:rFonts w:ascii="宋体" w:hAnsi="宋体"/>
                <w:szCs w:val="21"/>
              </w:rPr>
              <w:t>100</w:t>
            </w:r>
            <w:r>
              <w:rPr>
                <w:rFonts w:hint="eastAsia" w:ascii="宋体" w:hAnsi="宋体"/>
                <w:szCs w:val="21"/>
              </w:rPr>
              <w:t>×</w:t>
            </w:r>
            <w:r>
              <w:rPr>
                <w:rFonts w:ascii="宋体" w:hAnsi="宋体"/>
                <w:szCs w:val="21"/>
              </w:rPr>
              <w:t>E1</w:t>
            </w:r>
          </w:p>
          <w:p>
            <w:pPr>
              <w:rPr>
                <w:rFonts w:ascii="宋体"/>
                <w:szCs w:val="21"/>
              </w:rPr>
            </w:pPr>
            <w:r>
              <w:rPr>
                <w:rFonts w:hint="eastAsia" w:ascii="宋体" w:hAnsi="宋体"/>
                <w:szCs w:val="21"/>
              </w:rPr>
              <w:t>（</w:t>
            </w:r>
            <w:r>
              <w:rPr>
                <w:rFonts w:ascii="宋体" w:hAnsi="宋体"/>
                <w:szCs w:val="21"/>
              </w:rPr>
              <w:t>2</w:t>
            </w:r>
            <w:r>
              <w:rPr>
                <w:rFonts w:hint="eastAsia" w:ascii="宋体" w:hAnsi="宋体"/>
                <w:szCs w:val="21"/>
              </w:rPr>
              <w:t>）如果投标人的投标价≤评标基准价，则投标价得分</w:t>
            </w:r>
            <w:r>
              <w:rPr>
                <w:rFonts w:ascii="宋体" w:hAnsi="宋体"/>
                <w:szCs w:val="21"/>
              </w:rPr>
              <w:t>=F+(</w:t>
            </w:r>
            <w:r>
              <w:rPr>
                <w:rFonts w:hint="eastAsia" w:ascii="宋体" w:hAnsi="宋体"/>
                <w:szCs w:val="21"/>
              </w:rPr>
              <w:t>投标人投标价</w:t>
            </w:r>
            <w:r>
              <w:rPr>
                <w:rFonts w:ascii="宋体"/>
                <w:szCs w:val="21"/>
              </w:rPr>
              <w:t>-</w:t>
            </w:r>
            <w:r>
              <w:rPr>
                <w:rFonts w:hint="eastAsia" w:ascii="宋体" w:hAnsi="宋体"/>
                <w:szCs w:val="21"/>
              </w:rPr>
              <w:t>评标基准价</w:t>
            </w:r>
            <w:r>
              <w:rPr>
                <w:rFonts w:ascii="宋体" w:hAnsi="宋体"/>
                <w:szCs w:val="21"/>
              </w:rPr>
              <w:t>)/</w:t>
            </w:r>
            <w:r>
              <w:rPr>
                <w:rFonts w:hint="eastAsia" w:ascii="宋体" w:hAnsi="宋体"/>
                <w:szCs w:val="21"/>
              </w:rPr>
              <w:t>评标基准价×</w:t>
            </w:r>
            <w:r>
              <w:rPr>
                <w:rFonts w:ascii="宋体" w:hAnsi="宋体"/>
                <w:szCs w:val="21"/>
              </w:rPr>
              <w:t>100</w:t>
            </w:r>
            <w:r>
              <w:rPr>
                <w:rFonts w:hint="eastAsia" w:ascii="宋体" w:hAnsi="宋体"/>
                <w:szCs w:val="21"/>
              </w:rPr>
              <w:t>×</w:t>
            </w:r>
            <w:r>
              <w:rPr>
                <w:rFonts w:ascii="宋体" w:hAnsi="宋体"/>
                <w:szCs w:val="21"/>
              </w:rPr>
              <w:t>E2</w:t>
            </w:r>
          </w:p>
          <w:p>
            <w:pPr>
              <w:rPr>
                <w:rFonts w:ascii="宋体"/>
                <w:szCs w:val="21"/>
              </w:rPr>
            </w:pPr>
            <w:r>
              <w:rPr>
                <w:rFonts w:hint="eastAsia" w:ascii="宋体" w:hAnsi="宋体"/>
                <w:szCs w:val="21"/>
              </w:rPr>
              <w:t>其中，</w:t>
            </w:r>
            <w:r>
              <w:rPr>
                <w:rFonts w:ascii="宋体" w:hAnsi="宋体"/>
                <w:szCs w:val="21"/>
              </w:rPr>
              <w:t>F=10</w:t>
            </w:r>
            <w:r>
              <w:rPr>
                <w:rFonts w:hint="eastAsia" w:ascii="宋体" w:hAnsi="宋体"/>
                <w:szCs w:val="21"/>
              </w:rPr>
              <w:t>；</w:t>
            </w:r>
            <w:r>
              <w:rPr>
                <w:rFonts w:ascii="宋体" w:hAnsi="宋体"/>
                <w:szCs w:val="21"/>
              </w:rPr>
              <w:t>E1=</w:t>
            </w:r>
            <w:r>
              <w:rPr>
                <w:rFonts w:hint="eastAsia" w:ascii="宋体" w:hAnsi="宋体"/>
                <w:szCs w:val="21"/>
              </w:rPr>
              <w:t>0.</w:t>
            </w:r>
            <w:r>
              <w:rPr>
                <w:rFonts w:ascii="宋体" w:hAnsi="宋体"/>
                <w:szCs w:val="21"/>
              </w:rPr>
              <w:t>2</w:t>
            </w:r>
            <w:r>
              <w:rPr>
                <w:rFonts w:hint="eastAsia" w:ascii="宋体" w:hAnsi="宋体"/>
                <w:szCs w:val="21"/>
              </w:rPr>
              <w:t>；</w:t>
            </w:r>
            <w:r>
              <w:rPr>
                <w:rFonts w:ascii="宋体" w:hAnsi="宋体"/>
                <w:szCs w:val="21"/>
              </w:rPr>
              <w:t>E2=</w:t>
            </w:r>
            <w:r>
              <w:rPr>
                <w:rFonts w:hint="eastAsia" w:ascii="宋体" w:hAnsi="宋体"/>
                <w:szCs w:val="21"/>
              </w:rPr>
              <w:t>0.</w:t>
            </w:r>
            <w:r>
              <w:rPr>
                <w:rFonts w:ascii="宋体" w:hAnsi="宋体"/>
                <w:szCs w:val="21"/>
              </w:rPr>
              <w:t>1</w:t>
            </w:r>
            <w:r>
              <w:rPr>
                <w:rFonts w:hint="eastAsia" w:ascii="宋体" w:hAnsi="宋体"/>
                <w:szCs w:val="21"/>
              </w:rPr>
              <w:t>；投标价最低得分为</w:t>
            </w:r>
            <w:r>
              <w:rPr>
                <w:rFonts w:ascii="宋体"/>
                <w:szCs w:val="21"/>
              </w:rPr>
              <w:t>0</w:t>
            </w:r>
            <w:r>
              <w:rPr>
                <w:rFonts w:hint="eastAsia" w:ascii="宋体"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0" w:hRule="atLeast"/>
        </w:trPr>
        <w:tc>
          <w:tcPr>
            <w:tcW w:w="285" w:type="pct"/>
            <w:vMerge w:val="restart"/>
            <w:vAlign w:val="center"/>
          </w:tcPr>
          <w:p>
            <w:pPr>
              <w:autoSpaceDE w:val="0"/>
              <w:autoSpaceDN w:val="0"/>
              <w:rPr>
                <w:rFonts w:ascii="宋体" w:cs="宋体"/>
                <w:kern w:val="0"/>
                <w:szCs w:val="21"/>
              </w:rPr>
            </w:pPr>
            <w:r>
              <w:rPr>
                <w:rFonts w:ascii="宋体" w:hAnsi="宋体" w:cs="宋体"/>
                <w:kern w:val="0"/>
                <w:szCs w:val="21"/>
              </w:rPr>
              <w:t>2.2.4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p>
        </w:tc>
        <w:tc>
          <w:tcPr>
            <w:tcW w:w="401" w:type="pct"/>
            <w:vMerge w:val="restart"/>
            <w:tcBorders>
              <w:right w:val="single" w:color="auto" w:sz="4"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其他</w:t>
            </w:r>
          </w:p>
          <w:p>
            <w:pPr>
              <w:autoSpaceDE w:val="0"/>
              <w:autoSpaceDN w:val="0"/>
              <w:jc w:val="center"/>
              <w:rPr>
                <w:rFonts w:ascii="宋体" w:cs="宋体"/>
                <w:kern w:val="0"/>
                <w:szCs w:val="21"/>
              </w:rPr>
            </w:pPr>
            <w:r>
              <w:rPr>
                <w:rFonts w:hint="eastAsia" w:ascii="宋体" w:hAnsi="宋体" w:cs="宋体"/>
                <w:kern w:val="0"/>
                <w:szCs w:val="21"/>
              </w:rPr>
              <w:t>因素</w:t>
            </w:r>
          </w:p>
        </w:tc>
        <w:tc>
          <w:tcPr>
            <w:tcW w:w="118" w:type="pct"/>
            <w:vMerge w:val="restart"/>
            <w:tcBorders>
              <w:left w:val="single" w:color="auto" w:sz="4" w:space="0"/>
            </w:tcBorders>
            <w:vAlign w:val="center"/>
          </w:tcPr>
          <w:p>
            <w:pPr>
              <w:autoSpaceDE w:val="0"/>
              <w:autoSpaceDN w:val="0"/>
              <w:jc w:val="center"/>
              <w:rPr>
                <w:rFonts w:ascii="宋体" w:cs="宋体"/>
                <w:kern w:val="0"/>
                <w:szCs w:val="21"/>
              </w:rPr>
            </w:pPr>
            <w:r>
              <w:rPr>
                <w:rFonts w:hint="eastAsia" w:ascii="宋体" w:hAnsi="宋体" w:cs="宋体"/>
                <w:kern w:val="0"/>
                <w:szCs w:val="21"/>
              </w:rPr>
              <w:t>业绩</w:t>
            </w:r>
          </w:p>
        </w:tc>
        <w:tc>
          <w:tcPr>
            <w:tcW w:w="188" w:type="pct"/>
            <w:vMerge w:val="restart"/>
            <w:vAlign w:val="center"/>
          </w:tcPr>
          <w:p>
            <w:pPr>
              <w:autoSpaceDE w:val="0"/>
              <w:autoSpaceDN w:val="0"/>
              <w:jc w:val="center"/>
              <w:rPr>
                <w:rFonts w:asci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812" w:type="pct"/>
            <w:gridSpan w:val="3"/>
            <w:tcBorders>
              <w:top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hAnsi="宋体"/>
                <w:szCs w:val="21"/>
              </w:rPr>
              <w:t>满足强制性标准</w:t>
            </w:r>
          </w:p>
        </w:tc>
        <w:tc>
          <w:tcPr>
            <w:tcW w:w="264" w:type="pct"/>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15分</w:t>
            </w:r>
          </w:p>
        </w:tc>
        <w:tc>
          <w:tcPr>
            <w:tcW w:w="2932" w:type="pct"/>
            <w:tcBorders>
              <w:top w:val="single" w:color="auto" w:sz="4" w:space="0"/>
              <w:left w:val="single" w:color="auto" w:sz="4" w:space="0"/>
              <w:bottom w:val="single" w:color="auto" w:sz="4" w:space="0"/>
            </w:tcBorders>
            <w:vAlign w:val="center"/>
          </w:tcPr>
          <w:p>
            <w:pPr>
              <w:pStyle w:val="5"/>
            </w:pPr>
            <w:r>
              <w:rPr>
                <w:rFonts w:hint="eastAsia"/>
              </w:rPr>
              <w:t>满足资格审查条件业绩最低要求，得15分；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3" w:hRule="atLeast"/>
        </w:trPr>
        <w:tc>
          <w:tcPr>
            <w:tcW w:w="285" w:type="pct"/>
            <w:vMerge w:val="continue"/>
            <w:vAlign w:val="center"/>
          </w:tcPr>
          <w:p>
            <w:pPr>
              <w:autoSpaceDE w:val="0"/>
              <w:autoSpaceDN w:val="0"/>
              <w:rPr>
                <w:rFonts w:ascii="宋体" w:cs="宋体"/>
                <w:kern w:val="0"/>
                <w:szCs w:val="21"/>
              </w:rPr>
            </w:pPr>
          </w:p>
        </w:tc>
        <w:tc>
          <w:tcPr>
            <w:tcW w:w="401" w:type="pct"/>
            <w:vMerge w:val="continue"/>
            <w:tcBorders>
              <w:right w:val="single" w:color="auto" w:sz="4" w:space="0"/>
            </w:tcBorders>
            <w:vAlign w:val="center"/>
          </w:tcPr>
          <w:p>
            <w:pPr>
              <w:autoSpaceDE w:val="0"/>
              <w:autoSpaceDN w:val="0"/>
              <w:rPr>
                <w:rFonts w:ascii="宋体" w:cs="宋体"/>
                <w:kern w:val="0"/>
                <w:szCs w:val="21"/>
              </w:rPr>
            </w:pPr>
          </w:p>
        </w:tc>
        <w:tc>
          <w:tcPr>
            <w:tcW w:w="118" w:type="pct"/>
            <w:vMerge w:val="continue"/>
            <w:tcBorders>
              <w:left w:val="single" w:color="auto" w:sz="4" w:space="0"/>
            </w:tcBorders>
            <w:vAlign w:val="center"/>
          </w:tcPr>
          <w:p>
            <w:pPr>
              <w:autoSpaceDE w:val="0"/>
              <w:autoSpaceDN w:val="0"/>
              <w:rPr>
                <w:rFonts w:ascii="宋体" w:cs="宋体"/>
                <w:kern w:val="0"/>
                <w:szCs w:val="21"/>
              </w:rPr>
            </w:pPr>
          </w:p>
        </w:tc>
        <w:tc>
          <w:tcPr>
            <w:tcW w:w="188" w:type="pct"/>
            <w:vMerge w:val="continue"/>
            <w:vAlign w:val="center"/>
          </w:tcPr>
          <w:p>
            <w:pPr>
              <w:autoSpaceDE w:val="0"/>
              <w:autoSpaceDN w:val="0"/>
              <w:rPr>
                <w:rFonts w:ascii="宋体" w:cs="宋体"/>
                <w:kern w:val="0"/>
                <w:szCs w:val="21"/>
              </w:rPr>
            </w:pPr>
          </w:p>
        </w:tc>
        <w:tc>
          <w:tcPr>
            <w:tcW w:w="812" w:type="pct"/>
            <w:gridSpan w:val="3"/>
            <w:tcBorders>
              <w:top w:val="single" w:color="auto" w:sz="4" w:space="0"/>
              <w:right w:val="single" w:color="auto" w:sz="4" w:space="0"/>
            </w:tcBorders>
            <w:vAlign w:val="center"/>
          </w:tcPr>
          <w:p>
            <w:pPr>
              <w:autoSpaceDE w:val="0"/>
              <w:autoSpaceDN w:val="0"/>
              <w:rPr>
                <w:rFonts w:ascii="宋体" w:cs="宋体"/>
                <w:kern w:val="0"/>
                <w:szCs w:val="21"/>
              </w:rPr>
            </w:pPr>
            <w:r>
              <w:rPr>
                <w:rFonts w:hint="eastAsia" w:ascii="宋体" w:hAnsi="宋体" w:cs="宋体"/>
                <w:kern w:val="0"/>
                <w:szCs w:val="21"/>
              </w:rPr>
              <w:t>类似项目业绩</w:t>
            </w:r>
          </w:p>
        </w:tc>
        <w:tc>
          <w:tcPr>
            <w:tcW w:w="264" w:type="pct"/>
            <w:tcBorders>
              <w:top w:val="single" w:color="auto" w:sz="4" w:space="0"/>
              <w:left w:val="single" w:color="auto" w:sz="4" w:space="0"/>
              <w:right w:val="single" w:color="auto" w:sz="4" w:space="0"/>
            </w:tcBorders>
            <w:vAlign w:val="center"/>
          </w:tcPr>
          <w:p>
            <w:pPr>
              <w:pStyle w:val="5"/>
              <w:rPr>
                <w:rFonts w:hAnsi="宋体"/>
                <w:szCs w:val="21"/>
              </w:rPr>
            </w:pPr>
            <w:r>
              <w:rPr>
                <w:rFonts w:hint="eastAsia" w:hAnsi="宋体" w:cs="宋体"/>
                <w:kern w:val="0"/>
                <w:szCs w:val="21"/>
              </w:rPr>
              <w:t>10分</w:t>
            </w:r>
          </w:p>
        </w:tc>
        <w:tc>
          <w:tcPr>
            <w:tcW w:w="2932" w:type="pct"/>
            <w:tcBorders>
              <w:top w:val="single" w:color="auto" w:sz="4" w:space="0"/>
              <w:left w:val="single" w:color="auto" w:sz="4" w:space="0"/>
            </w:tcBorders>
            <w:vAlign w:val="center"/>
          </w:tcPr>
          <w:p>
            <w:pPr>
              <w:pStyle w:val="5"/>
            </w:pPr>
            <w:r>
              <w:rPr>
                <w:rFonts w:hint="eastAsia"/>
              </w:rPr>
              <w:t>近5年内（</w:t>
            </w:r>
            <w:r>
              <w:rPr>
                <w:rFonts w:hint="eastAsia"/>
                <w:szCs w:val="21"/>
              </w:rPr>
              <w:t>2017年9月1日至今</w:t>
            </w:r>
            <w:r>
              <w:rPr>
                <w:rFonts w:hint="eastAsia"/>
              </w:rPr>
              <w:t>，以交工时间为准）</w:t>
            </w:r>
            <w:r>
              <w:rPr>
                <w:rFonts w:hint="eastAsia" w:hAnsi="宋体" w:cs="宋体"/>
                <w:szCs w:val="21"/>
              </w:rPr>
              <w:t>每增加1个满足资格审查附录2要求</w:t>
            </w:r>
            <w:r>
              <w:rPr>
                <w:rFonts w:hint="eastAsia"/>
              </w:rPr>
              <w:t>的监理业绩</w:t>
            </w:r>
            <w:r>
              <w:t>,</w:t>
            </w:r>
            <w:r>
              <w:rPr>
                <w:rFonts w:hint="eastAsia"/>
              </w:rPr>
              <w:t>加5分，最多加10分。</w:t>
            </w:r>
          </w:p>
        </w:tc>
      </w:tr>
    </w:tbl>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8F4AE1"/>
    <w:rsid w:val="00013C78"/>
    <w:rsid w:val="001A4977"/>
    <w:rsid w:val="001D230B"/>
    <w:rsid w:val="00473F44"/>
    <w:rsid w:val="00690795"/>
    <w:rsid w:val="007257E0"/>
    <w:rsid w:val="007B0B10"/>
    <w:rsid w:val="008E5713"/>
    <w:rsid w:val="008F4AE1"/>
    <w:rsid w:val="00F81289"/>
    <w:rsid w:val="69D9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b/>
      <w:sz w:val="32"/>
      <w:szCs w:val="20"/>
    </w:rPr>
  </w:style>
  <w:style w:type="paragraph" w:styleId="3">
    <w:name w:val="heading 3"/>
    <w:basedOn w:val="1"/>
    <w:next w:val="1"/>
    <w:link w:val="12"/>
    <w:qFormat/>
    <w:uiPriority w:val="9"/>
    <w:pPr>
      <w:keepNext/>
      <w:keepLines/>
      <w:spacing w:line="360" w:lineRule="auto"/>
      <w:outlineLvl w:val="2"/>
    </w:pPr>
    <w:rPr>
      <w:b/>
      <w:sz w:val="32"/>
      <w:szCs w:val="20"/>
    </w:rPr>
  </w:style>
  <w:style w:type="paragraph" w:styleId="4">
    <w:name w:val="heading 5"/>
    <w:basedOn w:val="1"/>
    <w:next w:val="1"/>
    <w:link w:val="13"/>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4"/>
    <w:uiPriority w:val="99"/>
    <w:rPr>
      <w:rFonts w:ascii="宋体" w:hAnsi="Courier New"/>
      <w:szCs w:val="20"/>
    </w:rPr>
  </w:style>
  <w:style w:type="paragraph" w:styleId="6">
    <w:name w:val="footer"/>
    <w:basedOn w:val="1"/>
    <w:link w:val="15"/>
    <w:uiPriority w:val="99"/>
    <w:pPr>
      <w:tabs>
        <w:tab w:val="center" w:pos="4153"/>
        <w:tab w:val="right" w:pos="8306"/>
      </w:tabs>
      <w:snapToGrid w:val="0"/>
      <w:jc w:val="left"/>
    </w:pPr>
    <w:rPr>
      <w:sz w:val="18"/>
      <w:szCs w:val="20"/>
    </w:rPr>
  </w:style>
  <w:style w:type="paragraph" w:styleId="7">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0"/>
    <w:pPr>
      <w:widowControl/>
      <w:spacing w:before="100" w:beforeAutospacing="1" w:after="100" w:afterAutospacing="1"/>
      <w:jc w:val="left"/>
    </w:pPr>
    <w:rPr>
      <w:rFonts w:ascii="宋体" w:hAnsi="宋体"/>
      <w:color w:val="0000FF"/>
      <w:kern w:val="0"/>
      <w:sz w:val="24"/>
    </w:rPr>
  </w:style>
  <w:style w:type="character" w:customStyle="1" w:styleId="11">
    <w:name w:val="标题 2 Char"/>
    <w:basedOn w:val="10"/>
    <w:link w:val="2"/>
    <w:qFormat/>
    <w:uiPriority w:val="0"/>
    <w:rPr>
      <w:rFonts w:ascii="Arial" w:hAnsi="Arial" w:eastAsia="黑体" w:cs="Times New Roman"/>
      <w:b/>
      <w:sz w:val="32"/>
      <w:szCs w:val="20"/>
    </w:rPr>
  </w:style>
  <w:style w:type="character" w:customStyle="1" w:styleId="12">
    <w:name w:val="标题 3 Char"/>
    <w:basedOn w:val="10"/>
    <w:link w:val="3"/>
    <w:qFormat/>
    <w:uiPriority w:val="9"/>
    <w:rPr>
      <w:rFonts w:ascii="Times New Roman" w:hAnsi="Times New Roman" w:eastAsia="宋体" w:cs="Times New Roman"/>
      <w:b/>
      <w:sz w:val="32"/>
      <w:szCs w:val="20"/>
    </w:rPr>
  </w:style>
  <w:style w:type="character" w:customStyle="1" w:styleId="13">
    <w:name w:val="标题 5 Char"/>
    <w:basedOn w:val="10"/>
    <w:link w:val="4"/>
    <w:uiPriority w:val="9"/>
    <w:rPr>
      <w:rFonts w:ascii="Times New Roman" w:hAnsi="Times New Roman" w:eastAsia="宋体" w:cs="Times New Roman"/>
      <w:b/>
      <w:bCs/>
      <w:sz w:val="28"/>
      <w:szCs w:val="28"/>
    </w:rPr>
  </w:style>
  <w:style w:type="character" w:customStyle="1" w:styleId="14">
    <w:name w:val="纯文本 Char"/>
    <w:basedOn w:val="10"/>
    <w:link w:val="5"/>
    <w:qFormat/>
    <w:uiPriority w:val="99"/>
    <w:rPr>
      <w:rFonts w:ascii="宋体" w:hAnsi="Courier New" w:eastAsia="宋体" w:cs="Times New Roman"/>
      <w:szCs w:val="20"/>
    </w:rPr>
  </w:style>
  <w:style w:type="character" w:customStyle="1" w:styleId="15">
    <w:name w:val="页脚 Char"/>
    <w:basedOn w:val="10"/>
    <w:link w:val="6"/>
    <w:uiPriority w:val="99"/>
    <w:rPr>
      <w:rFonts w:ascii="Times New Roman" w:hAnsi="Times New Roman" w:eastAsia="宋体" w:cs="Times New Roman"/>
      <w:sz w:val="18"/>
      <w:szCs w:val="20"/>
    </w:rPr>
  </w:style>
  <w:style w:type="character" w:customStyle="1" w:styleId="16">
    <w:name w:val="普通(网站) Char"/>
    <w:link w:val="8"/>
    <w:uiPriority w:val="0"/>
    <w:rPr>
      <w:rFonts w:ascii="宋体" w:hAnsi="宋体" w:eastAsia="宋体" w:cs="Times New Roman"/>
      <w:color w:val="0000FF"/>
      <w:kern w:val="0"/>
      <w:sz w:val="24"/>
      <w:szCs w:val="24"/>
    </w:rPr>
  </w:style>
  <w:style w:type="paragraph" w:customStyle="1" w:styleId="17">
    <w:name w:val="目录3"/>
    <w:qFormat/>
    <w:uiPriority w:val="0"/>
    <w:pPr>
      <w:widowControl w:val="0"/>
      <w:spacing w:beforeLines="50" w:afterLines="50" w:line="400" w:lineRule="exact"/>
      <w:jc w:val="both"/>
    </w:pPr>
    <w:rPr>
      <w:rFonts w:ascii="黑体" w:hAnsi="Times New Roman" w:eastAsia="黑体" w:cs="Times New Roman"/>
      <w:kern w:val="2"/>
      <w:sz w:val="24"/>
      <w:szCs w:val="24"/>
      <w:lang w:val="en-US" w:eastAsia="zh-CN" w:bidi="ar-SA"/>
    </w:rPr>
  </w:style>
  <w:style w:type="paragraph" w:customStyle="1" w:styleId="18">
    <w:name w:val="样式54"/>
    <w:basedOn w:val="2"/>
    <w:qFormat/>
    <w:uiPriority w:val="0"/>
    <w:pPr>
      <w:spacing w:before="0" w:after="0" w:line="360" w:lineRule="auto"/>
      <w:jc w:val="center"/>
    </w:pPr>
    <w:rPr>
      <w:bCs/>
      <w:kern w:val="28"/>
      <w:szCs w:val="32"/>
    </w:rPr>
  </w:style>
  <w:style w:type="character" w:customStyle="1" w:styleId="19">
    <w:name w:val="页眉 Char"/>
    <w:basedOn w:val="10"/>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4225</Words>
  <Characters>4437</Characters>
  <Lines>65</Lines>
  <Paragraphs>18</Paragraphs>
  <TotalTime>1</TotalTime>
  <ScaleCrop>false</ScaleCrop>
  <LinksUpToDate>false</LinksUpToDate>
  <CharactersWithSpaces>4501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2022-09-05T08:10:00Z</dcterms:created>
  <dc:creator>MC SYSTEM</dc:creator>
  <cp:lastModifiedBy>招标管理办公室</cp:lastModifiedBy>
  <dcterms:modified xsi:type="dcterms:W3CDTF">2022-09-06T01:05:10Z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0D880CDFA57A4F0AADF6658EB0B7AC83</vt:lpwstr>
  </property>
</Properties>
</file>