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sz w:val="24"/>
        </w:rPr>
      </w:pPr>
      <w:bookmarkStart w:id="0" w:name="_Toc356504158"/>
      <w:bookmarkStart w:id="1" w:name="_Toc321927034"/>
      <w:bookmarkStart w:id="2" w:name="_Toc321926668"/>
      <w:bookmarkStart w:id="3" w:name="_Toc470776148"/>
      <w:bookmarkStart w:id="4" w:name="_Toc536788770"/>
      <w:bookmarkStart w:id="5" w:name="OLE_LINK2"/>
      <w:bookmarkStart w:id="14" w:name="_GoBack"/>
      <w:bookmarkEnd w:id="14"/>
      <w:r>
        <w:rPr>
          <w:rFonts w:hint="eastAsia" w:ascii="宋体"/>
          <w:sz w:val="24"/>
        </w:rPr>
        <w:t>附件1：</w:t>
      </w:r>
      <w:bookmarkEnd w:id="0"/>
      <w:bookmarkEnd w:id="1"/>
      <w:bookmarkEnd w:id="2"/>
      <w:bookmarkStart w:id="6" w:name="_Toc356504159"/>
      <w:r>
        <w:rPr>
          <w:rFonts w:hint="eastAsia" w:ascii="宋体"/>
          <w:sz w:val="24"/>
        </w:rPr>
        <w:t>资格审查要求</w:t>
      </w:r>
      <w:bookmarkEnd w:id="3"/>
      <w:bookmarkEnd w:id="4"/>
    </w:p>
    <w:p>
      <w:pPr>
        <w:pStyle w:val="3"/>
        <w:snapToGrid w:val="0"/>
        <w:spacing w:before="100" w:beforeAutospacing="1" w:after="100" w:afterAutospacing="1" w:line="240" w:lineRule="auto"/>
        <w:jc w:val="center"/>
        <w:rPr>
          <w:rFonts w:hint="eastAsia" w:ascii="宋体"/>
          <w:sz w:val="24"/>
          <w:szCs w:val="24"/>
        </w:rPr>
      </w:pPr>
      <w:bookmarkStart w:id="7" w:name="_Toc536788771"/>
      <w:r>
        <w:rPr>
          <w:rFonts w:hint="eastAsia" w:ascii="宋体"/>
          <w:sz w:val="24"/>
          <w:szCs w:val="24"/>
        </w:rPr>
        <w:t>附录1  资质审查条件（资质最低要求）</w:t>
      </w:r>
      <w:bookmarkEnd w:id="7"/>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vAlign w:val="center"/>
          </w:tcPr>
          <w:p>
            <w:pPr>
              <w:jc w:val="center"/>
              <w:rPr>
                <w:rFonts w:hint="eastAsia" w:ascii="宋体"/>
                <w:szCs w:val="21"/>
              </w:rPr>
            </w:pPr>
            <w:r>
              <w:rPr>
                <w:rFonts w:hint="eastAsia" w:ascii="宋体"/>
                <w:b/>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799" w:type="dxa"/>
            <w:vAlign w:val="center"/>
          </w:tcPr>
          <w:p>
            <w:pPr>
              <w:snapToGrid w:val="0"/>
              <w:ind w:firstLine="420" w:firstLineChars="200"/>
              <w:rPr>
                <w:rFonts w:hint="eastAsia"/>
                <w:szCs w:val="21"/>
                <w:highlight w:val="yellow"/>
              </w:rPr>
            </w:pPr>
            <w:r>
              <w:rPr>
                <w:rFonts w:hint="eastAsia"/>
                <w:szCs w:val="21"/>
              </w:rPr>
              <w:t>投标人</w:t>
            </w:r>
            <w:r>
              <w:rPr>
                <w:rFonts w:hint="eastAsia" w:ascii="宋体" w:hAnsi="宋体" w:cs="宋体"/>
                <w:szCs w:val="21"/>
              </w:rPr>
              <w:t>具有独立企业法人资格、持有有效的营业执照</w:t>
            </w:r>
            <w:r>
              <w:rPr>
                <w:rFonts w:hint="eastAsia"/>
                <w:szCs w:val="21"/>
              </w:rPr>
              <w:t>，具有《中华人民共和国增值电信业务经营许可证》。</w:t>
            </w:r>
          </w:p>
        </w:tc>
      </w:tr>
    </w:tbl>
    <w:p>
      <w:pPr>
        <w:pStyle w:val="3"/>
        <w:spacing w:line="240" w:lineRule="auto"/>
        <w:rPr>
          <w:rFonts w:hint="eastAsia" w:ascii="宋体"/>
          <w:sz w:val="24"/>
          <w:szCs w:val="24"/>
        </w:rPr>
      </w:pPr>
      <w:bookmarkStart w:id="8" w:name="_Toc536788772"/>
    </w:p>
    <w:p>
      <w:pPr>
        <w:pStyle w:val="3"/>
        <w:spacing w:line="240" w:lineRule="auto"/>
        <w:jc w:val="center"/>
        <w:rPr>
          <w:rFonts w:hint="eastAsia" w:ascii="宋体"/>
          <w:sz w:val="24"/>
          <w:szCs w:val="24"/>
        </w:rPr>
      </w:pPr>
      <w:r>
        <w:rPr>
          <w:rFonts w:hint="eastAsia" w:ascii="宋体"/>
          <w:sz w:val="24"/>
          <w:szCs w:val="24"/>
        </w:rPr>
        <w:t>附录2  资质审查条件（业绩最低要求）</w:t>
      </w:r>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vAlign w:val="center"/>
          </w:tcPr>
          <w:p>
            <w:pPr>
              <w:jc w:val="center"/>
              <w:rPr>
                <w:rFonts w:hint="eastAsia" w:ascii="宋体"/>
                <w:szCs w:val="21"/>
              </w:rPr>
            </w:pPr>
            <w:r>
              <w:rPr>
                <w:rFonts w:hint="eastAsia" w:asci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9" w:type="dxa"/>
            <w:vAlign w:val="center"/>
          </w:tcPr>
          <w:p>
            <w:pPr>
              <w:ind w:firstLine="420" w:firstLineChars="200"/>
              <w:rPr>
                <w:rFonts w:hint="eastAsia" w:ascii="宋体"/>
                <w:szCs w:val="21"/>
              </w:rPr>
            </w:pPr>
            <w:r>
              <w:rPr>
                <w:rFonts w:hint="eastAsia" w:ascii="宋体" w:hAnsi="宋体"/>
                <w:szCs w:val="21"/>
              </w:rPr>
              <w:t>近3年内（2019年8月1日至今，以合同签订时间为准）至少承揽过1项合同额在25万元以上的类似业绩。</w:t>
            </w:r>
          </w:p>
        </w:tc>
      </w:tr>
    </w:tbl>
    <w:p>
      <w:pPr>
        <w:pStyle w:val="3"/>
        <w:spacing w:line="240" w:lineRule="auto"/>
        <w:jc w:val="center"/>
        <w:rPr>
          <w:rFonts w:hint="eastAsia" w:ascii="宋体"/>
          <w:sz w:val="24"/>
          <w:szCs w:val="24"/>
        </w:rPr>
      </w:pPr>
      <w:bookmarkStart w:id="9" w:name="_Toc536788773"/>
    </w:p>
    <w:p>
      <w:pPr>
        <w:pStyle w:val="3"/>
        <w:spacing w:line="240" w:lineRule="auto"/>
        <w:jc w:val="center"/>
        <w:rPr>
          <w:rFonts w:hint="eastAsia" w:ascii="宋体"/>
        </w:rPr>
      </w:pPr>
      <w:r>
        <w:rPr>
          <w:rFonts w:hint="eastAsia" w:ascii="宋体"/>
          <w:sz w:val="24"/>
          <w:szCs w:val="24"/>
        </w:rPr>
        <w:t>附录3  资质审查条件（信誉最低要求）</w:t>
      </w:r>
      <w:bookmarkEnd w:id="9"/>
      <w:r>
        <w:rPr>
          <w:rFonts w:hint="eastAsia" w:ascii="宋体"/>
          <w:sz w:val="24"/>
          <w:szCs w:val="24"/>
        </w:rPr>
        <w:t xml:space="preserve"> </w:t>
      </w:r>
      <w:r>
        <w:rPr>
          <w:rFonts w:hint="eastAsia" w:ascii="宋体"/>
          <w:b w:val="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vAlign w:val="center"/>
          </w:tcPr>
          <w:p>
            <w:pPr>
              <w:spacing w:line="360" w:lineRule="auto"/>
              <w:jc w:val="center"/>
              <w:rPr>
                <w:rFonts w:hint="eastAsia" w:ascii="宋体"/>
                <w:szCs w:val="21"/>
              </w:rPr>
            </w:pPr>
            <w:r>
              <w:rPr>
                <w:rFonts w:hint="eastAsia" w:asci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18" w:type="dxa"/>
            <w:vMerge w:val="restart"/>
            <w:vAlign w:val="center"/>
          </w:tcPr>
          <w:p>
            <w:pPr>
              <w:adjustRightInd w:val="0"/>
              <w:snapToGrid w:val="0"/>
              <w:spacing w:line="276" w:lineRule="auto"/>
              <w:ind w:firstLine="420" w:firstLineChars="200"/>
              <w:jc w:val="left"/>
              <w:rPr>
                <w:rFonts w:hint="eastAsia" w:ascii="宋体"/>
                <w:szCs w:val="21"/>
              </w:rPr>
            </w:pPr>
            <w:r>
              <w:rPr>
                <w:rFonts w:hint="eastAsia" w:ascii="宋体"/>
                <w:szCs w:val="21"/>
              </w:rPr>
              <w:t>投标人过去1年（2021年8月1日至今）中不曾在高速公路项目中违约而被驱逐或因投标人自身的原因而使高速公路合同被解除。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vAlign w:val="center"/>
          </w:tcPr>
          <w:p/>
        </w:tc>
      </w:tr>
    </w:tbl>
    <w:p>
      <w:pPr>
        <w:rPr>
          <w:rFonts w:ascii="宋体"/>
          <w:b/>
          <w:sz w:val="24"/>
        </w:rPr>
      </w:pPr>
      <w:bookmarkStart w:id="10" w:name="_Toc470776154"/>
    </w:p>
    <w:p>
      <w:pPr>
        <w:pStyle w:val="3"/>
        <w:jc w:val="center"/>
        <w:rPr>
          <w:rFonts w:hint="eastAsia" w:ascii="宋体" w:hAnsi="宋体" w:cs="宋体"/>
          <w:color w:val="000000"/>
          <w:sz w:val="24"/>
          <w:szCs w:val="24"/>
        </w:rPr>
      </w:pPr>
      <w:bookmarkStart w:id="11" w:name="_Toc69739539"/>
      <w:bookmarkStart w:id="12" w:name="_Toc536788774"/>
      <w:r>
        <w:rPr>
          <w:rFonts w:hint="eastAsia" w:ascii="宋体" w:hAnsi="宋体" w:cs="宋体"/>
          <w:color w:val="000000"/>
          <w:sz w:val="24"/>
          <w:szCs w:val="24"/>
        </w:rPr>
        <w:t xml:space="preserve">    附录4  资质审查条件（项目负责人最低要求）</w:t>
      </w:r>
      <w:bookmarkEnd w:id="11"/>
      <w:bookmarkEnd w:id="12"/>
      <w:r>
        <w:rPr>
          <w:rFonts w:hint="eastAsia" w:ascii="宋体" w:hAnsi="宋体" w:cs="宋体"/>
          <w:color w:val="000000"/>
          <w:sz w:val="24"/>
          <w:szCs w:val="24"/>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993"/>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blHeader/>
          <w:jc w:val="center"/>
        </w:trPr>
        <w:tc>
          <w:tcPr>
            <w:tcW w:w="1655" w:type="dxa"/>
            <w:vAlign w:val="center"/>
          </w:tcPr>
          <w:p>
            <w:pPr>
              <w:pStyle w:val="7"/>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人员</w:t>
            </w:r>
          </w:p>
        </w:tc>
        <w:tc>
          <w:tcPr>
            <w:tcW w:w="993" w:type="dxa"/>
            <w:vAlign w:val="center"/>
          </w:tcPr>
          <w:p>
            <w:pPr>
              <w:pStyle w:val="7"/>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数量</w:t>
            </w:r>
          </w:p>
        </w:tc>
        <w:tc>
          <w:tcPr>
            <w:tcW w:w="6220" w:type="dxa"/>
            <w:vAlign w:val="center"/>
          </w:tcPr>
          <w:p>
            <w:pPr>
              <w:pStyle w:val="7"/>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55"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项目负责人</w:t>
            </w:r>
          </w:p>
        </w:tc>
        <w:tc>
          <w:tcPr>
            <w:tcW w:w="993"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1人</w:t>
            </w:r>
          </w:p>
        </w:tc>
        <w:tc>
          <w:tcPr>
            <w:tcW w:w="6220" w:type="dxa"/>
            <w:vAlign w:val="center"/>
          </w:tcPr>
          <w:p>
            <w:pPr>
              <w:pStyle w:val="7"/>
              <w:snapToGrid w:val="0"/>
              <w:spacing w:before="0" w:beforeAutospacing="0" w:after="0" w:afterAutospacing="0" w:line="320" w:lineRule="exact"/>
              <w:rPr>
                <w:rFonts w:hAnsi="宋体" w:cs="宋体"/>
                <w:color w:val="000000"/>
                <w:sz w:val="21"/>
                <w:szCs w:val="21"/>
              </w:rPr>
            </w:pPr>
            <w:r>
              <w:rPr>
                <w:rFonts w:hint="eastAsia" w:hAnsi="宋体" w:cs="宋体"/>
                <w:color w:val="auto"/>
                <w:sz w:val="21"/>
                <w:szCs w:val="21"/>
              </w:rPr>
              <w:t>工程师（计算机相关专业）</w:t>
            </w:r>
          </w:p>
        </w:tc>
      </w:tr>
    </w:tbl>
    <w:p>
      <w:pPr>
        <w:rPr>
          <w:rFonts w:hint="eastAsia" w:ascii="宋体" w:hAnsi="宋体" w:cs="宋体"/>
          <w:b/>
          <w:color w:val="000000"/>
          <w:sz w:val="24"/>
        </w:rPr>
      </w:pPr>
    </w:p>
    <w:p>
      <w:pPr>
        <w:rPr>
          <w:rFonts w:hint="eastAsia" w:ascii="宋体" w:hAnsi="宋体" w:cs="宋体"/>
          <w:b/>
          <w:color w:val="000000"/>
          <w:sz w:val="24"/>
        </w:rPr>
      </w:pPr>
    </w:p>
    <w:p>
      <w:pPr>
        <w:rPr>
          <w:rFonts w:hint="eastAsia" w:ascii="宋体" w:hAnsi="宋体"/>
          <w:b/>
          <w:sz w:val="24"/>
        </w:rPr>
      </w:pPr>
      <w:r>
        <w:rPr>
          <w:rFonts w:ascii="宋体"/>
          <w:b/>
          <w:sz w:val="24"/>
        </w:rPr>
        <w:br w:type="page"/>
      </w:r>
      <w:bookmarkEnd w:id="6"/>
      <w:bookmarkEnd w:id="10"/>
      <w:bookmarkStart w:id="13" w:name="_Toc470776155"/>
      <w:r>
        <w:rPr>
          <w:rFonts w:hint="eastAsia" w:ascii="宋体" w:hAnsi="宋体"/>
          <w:b/>
          <w:sz w:val="24"/>
        </w:rPr>
        <w:t>附件2：评标办法</w:t>
      </w:r>
      <w:bookmarkEnd w:id="5"/>
      <w:bookmarkEnd w:id="13"/>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条款号</w:t>
            </w:r>
          </w:p>
        </w:tc>
        <w:tc>
          <w:tcPr>
            <w:tcW w:w="1052"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条款名称</w:t>
            </w:r>
          </w:p>
        </w:tc>
        <w:tc>
          <w:tcPr>
            <w:tcW w:w="7250"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1</w:t>
            </w:r>
          </w:p>
        </w:tc>
        <w:tc>
          <w:tcPr>
            <w:tcW w:w="1052"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评标办法</w:t>
            </w:r>
          </w:p>
        </w:tc>
        <w:tc>
          <w:tcPr>
            <w:tcW w:w="7250" w:type="dxa"/>
            <w:vAlign w:val="center"/>
          </w:tcPr>
          <w:p>
            <w:pPr>
              <w:snapToGrid w:val="0"/>
              <w:spacing w:line="320" w:lineRule="exact"/>
              <w:ind w:firstLine="404" w:firstLineChars="200"/>
              <w:jc w:val="left"/>
              <w:rPr>
                <w:rFonts w:hint="eastAsia" w:ascii="宋体" w:hAnsi="宋体" w:cs="宋体"/>
                <w:spacing w:val="-4"/>
                <w:szCs w:val="21"/>
              </w:rPr>
            </w:pPr>
            <w:r>
              <w:rPr>
                <w:rFonts w:hint="eastAsia" w:ascii="宋体" w:hAnsi="宋体" w:cs="宋体"/>
                <w:spacing w:val="-4"/>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（1）评标价低的投标人优先；</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（2）实施方案得分较高的投标人优先；</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（3）投标人满足投标人须知前附表附录2资格审查条件(业绩最低条件)要求的业绩累计合同金额高的优先。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2.1.1</w:t>
            </w:r>
          </w:p>
          <w:p>
            <w:pPr>
              <w:snapToGrid w:val="0"/>
              <w:spacing w:line="320" w:lineRule="exact"/>
              <w:jc w:val="center"/>
              <w:rPr>
                <w:rFonts w:hint="eastAsia" w:ascii="宋体" w:hAnsi="宋体" w:cs="宋体"/>
                <w:szCs w:val="21"/>
              </w:rPr>
            </w:pPr>
            <w:r>
              <w:rPr>
                <w:rFonts w:hint="eastAsia" w:ascii="宋体" w:hAnsi="宋体" w:cs="宋体"/>
                <w:szCs w:val="21"/>
              </w:rPr>
              <w:t>2.1.3</w:t>
            </w:r>
          </w:p>
        </w:tc>
        <w:tc>
          <w:tcPr>
            <w:tcW w:w="1052"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形式评审与响应性评审标准</w:t>
            </w:r>
          </w:p>
        </w:tc>
        <w:tc>
          <w:tcPr>
            <w:tcW w:w="7250" w:type="dxa"/>
          </w:tcPr>
          <w:p>
            <w:pPr>
              <w:tabs>
                <w:tab w:val="left" w:pos="3060"/>
              </w:tabs>
              <w:snapToGrid w:val="0"/>
              <w:spacing w:line="320" w:lineRule="exact"/>
              <w:rPr>
                <w:rFonts w:hint="eastAsia" w:ascii="宋体" w:hAnsi="宋体" w:cs="宋体"/>
                <w:b/>
                <w:szCs w:val="21"/>
              </w:rPr>
            </w:pPr>
            <w:r>
              <w:rPr>
                <w:rFonts w:hint="eastAsia" w:ascii="宋体" w:hAnsi="宋体" w:cs="宋体"/>
                <w:b/>
                <w:szCs w:val="21"/>
              </w:rPr>
              <w:t>第一个信封（商务及技术文件）评审标准:</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a.投标函按招标文件规定填报了补遗书编号（如有）、质量要求、服务期限；</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b.投标函附录的所有数据均符合招标文件规定；</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c.投标文件组成齐全完整，内容均按规定填写。</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（3）投标人按照招标文件的规定提供了投标保证金：</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 xml:space="preserve">（4）投标人法定代表人授权委托代理人签署投标文件的，须提交授权委托书，授权委托书的签字盖章符合招标文件规定。 </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（6）投标人未以联合体形式投标。</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（7）投标人未对本项目提出分包计划。</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（8）同一投标人未提交两个以上不同的投标文件。</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（9）投标文件第一信封中未出现有关投标报价的内容。</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（10）投标文件载明的招标项目完成期限未超过招标文件规定的时限。</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（11）投标文件对招标文件的实质性要求和条件作出响应。</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（12）权利义务符合招标文件规定：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a.投标人应接受招标文件规定的风险划分原则，未提出新的风险划分办法；</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b.投标人未增加发包人的责任范围，或减少投标人义务；</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c.投标人未提出不同的支付办法；</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d.投标人对合同纠纷、事故处理办法未提出异议；</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e.投标人在投标活动中无欺诈行为；</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f.投标人未对合同条款有重要保留。</w:t>
            </w:r>
          </w:p>
          <w:p>
            <w:pPr>
              <w:tabs>
                <w:tab w:val="left" w:pos="3060"/>
              </w:tabs>
              <w:snapToGrid w:val="0"/>
              <w:spacing w:line="320" w:lineRule="exact"/>
              <w:rPr>
                <w:rFonts w:hint="eastAsia" w:ascii="宋体" w:hAnsi="宋体" w:cs="宋体"/>
                <w:b/>
                <w:szCs w:val="21"/>
              </w:rPr>
            </w:pPr>
            <w:r>
              <w:rPr>
                <w:rFonts w:hint="eastAsia" w:ascii="宋体" w:hAnsi="宋体" w:cs="宋体"/>
                <w:b/>
                <w:szCs w:val="21"/>
              </w:rPr>
              <w:t>第二个信封（报价文件）评审标准：</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a.投标函按招标文件规定填报了补遗书编号（如有）、投标价（包括大写金额和小写金额）；</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b．投标文件组成齐全完整，内容均按规定填写。</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（3）投标函中的报价未超过招标文件设定的最高投标限价。</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（4）投标函中报价的大写金额能够确定具体数值。</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2.1.2</w:t>
            </w:r>
          </w:p>
        </w:tc>
        <w:tc>
          <w:tcPr>
            <w:tcW w:w="1052"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资格评审标准</w:t>
            </w:r>
          </w:p>
        </w:tc>
        <w:tc>
          <w:tcPr>
            <w:tcW w:w="7250" w:type="dxa"/>
          </w:tcPr>
          <w:p>
            <w:pPr>
              <w:tabs>
                <w:tab w:val="left" w:pos="3060"/>
              </w:tabs>
              <w:snapToGrid w:val="0"/>
              <w:spacing w:line="320" w:lineRule="exact"/>
              <w:rPr>
                <w:rFonts w:hint="eastAsia" w:ascii="宋体" w:hAnsi="宋体" w:cs="宋体"/>
                <w:szCs w:val="21"/>
              </w:rPr>
            </w:pPr>
            <w:r>
              <w:rPr>
                <w:rFonts w:hint="eastAsia" w:ascii="宋体" w:hAnsi="宋体" w:cs="宋体"/>
                <w:szCs w:val="21"/>
              </w:rPr>
              <w:t>（1）投标人具备有效的营业执照、资质证书和基本账户开户许可证（或基本存款账户信息）；</w:t>
            </w:r>
          </w:p>
          <w:p>
            <w:pPr>
              <w:tabs>
                <w:tab w:val="left" w:pos="3060"/>
              </w:tabs>
              <w:snapToGrid w:val="0"/>
              <w:spacing w:line="320" w:lineRule="exact"/>
              <w:rPr>
                <w:rFonts w:hint="eastAsia" w:ascii="宋体" w:hAnsi="宋体" w:cs="宋体"/>
                <w:szCs w:val="21"/>
              </w:rPr>
            </w:pPr>
            <w:r>
              <w:rPr>
                <w:rFonts w:hint="eastAsia" w:ascii="宋体" w:hAnsi="宋体" w:cs="宋体"/>
                <w:szCs w:val="21"/>
              </w:rPr>
              <w:t>（2）投标人的资质等级符合招标文件规定；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（3）投标人的类似项目业绩符合招标文件规定；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（4）投标人的信誉符合招标文件规定；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 xml:space="preserve">（5）投标人不存在第二章“投标人须知”第1.4.3项或第1.4.4项规定的任何一种情形。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2.2.1</w:t>
            </w:r>
          </w:p>
        </w:tc>
        <w:tc>
          <w:tcPr>
            <w:tcW w:w="1052" w:type="dxa"/>
            <w:vAlign w:val="center"/>
          </w:tcPr>
          <w:p>
            <w:pPr>
              <w:snapToGrid w:val="0"/>
              <w:spacing w:line="320" w:lineRule="exact"/>
              <w:jc w:val="center"/>
              <w:rPr>
                <w:rFonts w:hint="eastAsia" w:ascii="宋体" w:hAnsi="宋体" w:cs="宋体"/>
                <w:szCs w:val="21"/>
              </w:rPr>
            </w:pPr>
            <w:r>
              <w:rPr>
                <w:rFonts w:hint="eastAsia" w:ascii="宋体" w:hAnsi="宋体" w:cs="宋体"/>
                <w:szCs w:val="21"/>
              </w:rPr>
              <w:t>分值构成</w:t>
            </w:r>
          </w:p>
        </w:tc>
        <w:tc>
          <w:tcPr>
            <w:tcW w:w="7250" w:type="dxa"/>
            <w:vAlign w:val="center"/>
          </w:tcPr>
          <w:p>
            <w:pPr>
              <w:autoSpaceDE w:val="0"/>
              <w:autoSpaceDN w:val="0"/>
              <w:adjustRightInd w:val="0"/>
              <w:snapToGrid w:val="0"/>
              <w:spacing w:line="320" w:lineRule="exact"/>
              <w:ind w:left="107"/>
              <w:jc w:val="left"/>
              <w:rPr>
                <w:rFonts w:hint="eastAsia" w:ascii="宋体" w:hAnsi="宋体" w:cs="宋体"/>
                <w:b/>
                <w:kern w:val="0"/>
                <w:szCs w:val="21"/>
              </w:rPr>
            </w:pPr>
            <w:r>
              <w:rPr>
                <w:rFonts w:hint="eastAsia" w:ascii="宋体" w:hAnsi="宋体" w:cs="宋体"/>
                <w:b/>
                <w:kern w:val="0"/>
                <w:szCs w:val="21"/>
              </w:rPr>
              <w:t>第一信封（商务及技术文件）评分分值构成：</w:t>
            </w:r>
          </w:p>
          <w:p>
            <w:pPr>
              <w:autoSpaceDE w:val="0"/>
              <w:autoSpaceDN w:val="0"/>
              <w:adjustRightInd w:val="0"/>
              <w:snapToGrid w:val="0"/>
              <w:spacing w:line="320" w:lineRule="exact"/>
              <w:ind w:left="107"/>
              <w:jc w:val="left"/>
              <w:rPr>
                <w:rFonts w:hint="eastAsia" w:ascii="宋体" w:hAnsi="宋体" w:cs="宋体"/>
                <w:kern w:val="0"/>
                <w:szCs w:val="21"/>
              </w:rPr>
            </w:pPr>
            <w:r>
              <w:rPr>
                <w:rFonts w:hint="eastAsia" w:ascii="宋体" w:hAnsi="宋体"/>
                <w:szCs w:val="21"/>
              </w:rPr>
              <w:t>实施方案：40分</w:t>
            </w:r>
          </w:p>
          <w:p>
            <w:pPr>
              <w:autoSpaceDE w:val="0"/>
              <w:autoSpaceDN w:val="0"/>
              <w:adjustRightInd w:val="0"/>
              <w:snapToGrid w:val="0"/>
              <w:spacing w:line="320" w:lineRule="exact"/>
              <w:ind w:left="107"/>
              <w:jc w:val="left"/>
              <w:rPr>
                <w:rFonts w:hint="eastAsia" w:ascii="宋体" w:hAnsi="宋体" w:cs="宋体"/>
                <w:kern w:val="0"/>
                <w:szCs w:val="21"/>
              </w:rPr>
            </w:pPr>
            <w:r>
              <w:rPr>
                <w:rFonts w:hint="eastAsia" w:ascii="宋体" w:hAnsi="宋体" w:cs="宋体"/>
                <w:kern w:val="0"/>
                <w:szCs w:val="21"/>
              </w:rPr>
              <w:t>其他因素：30分</w:t>
            </w:r>
          </w:p>
          <w:p>
            <w:pPr>
              <w:autoSpaceDE w:val="0"/>
              <w:autoSpaceDN w:val="0"/>
              <w:adjustRightInd w:val="0"/>
              <w:snapToGrid w:val="0"/>
              <w:spacing w:line="320" w:lineRule="exact"/>
              <w:ind w:left="107"/>
              <w:jc w:val="left"/>
              <w:rPr>
                <w:rFonts w:hint="eastAsia" w:ascii="宋体" w:hAnsi="宋体" w:cs="宋体"/>
                <w:b/>
                <w:kern w:val="0"/>
                <w:szCs w:val="21"/>
              </w:rPr>
            </w:pPr>
            <w:r>
              <w:rPr>
                <w:rFonts w:hint="eastAsia" w:ascii="宋体" w:hAnsi="宋体" w:cs="宋体"/>
                <w:b/>
                <w:kern w:val="0"/>
                <w:szCs w:val="21"/>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rPr>
            </w:pPr>
            <w:r>
              <w:rPr>
                <w:rFonts w:hint="eastAsia" w:ascii="宋体" w:hAnsi="宋体" w:cs="宋体"/>
                <w:szCs w:val="21"/>
              </w:rPr>
              <w:t>评标价：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2.2.2</w:t>
            </w:r>
          </w:p>
        </w:tc>
        <w:tc>
          <w:tcPr>
            <w:tcW w:w="1052" w:type="dxa"/>
            <w:vAlign w:val="center"/>
          </w:tcPr>
          <w:p>
            <w:pPr>
              <w:snapToGrid w:val="0"/>
              <w:spacing w:line="320" w:lineRule="exact"/>
              <w:ind w:left="2"/>
              <w:jc w:val="center"/>
              <w:rPr>
                <w:rFonts w:hint="eastAsia" w:ascii="宋体" w:hAnsi="宋体" w:cs="宋体"/>
                <w:szCs w:val="21"/>
              </w:rPr>
            </w:pPr>
            <w:r>
              <w:rPr>
                <w:rFonts w:hint="eastAsia" w:ascii="宋体" w:hAnsi="宋体" w:cs="宋体"/>
                <w:szCs w:val="21"/>
              </w:rPr>
              <w:t>评标基准价计算方法</w:t>
            </w:r>
          </w:p>
        </w:tc>
        <w:tc>
          <w:tcPr>
            <w:tcW w:w="7250" w:type="dxa"/>
            <w:vAlign w:val="center"/>
          </w:tcPr>
          <w:p>
            <w:pPr>
              <w:snapToGrid w:val="0"/>
              <w:spacing w:line="320" w:lineRule="exact"/>
              <w:ind w:right="113"/>
              <w:rPr>
                <w:rFonts w:hint="eastAsia" w:ascii="宋体" w:hAnsi="宋体" w:cs="宋体"/>
                <w:szCs w:val="21"/>
              </w:rPr>
            </w:pPr>
            <w:r>
              <w:rPr>
                <w:rFonts w:hint="eastAsia" w:ascii="宋体" w:hAnsi="宋体" w:cs="宋体"/>
                <w:szCs w:val="21"/>
              </w:rPr>
              <w:t>评标基准价的计算：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（1）评标价的确定：</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评标价=投标函文字报价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（2）评标价平均值的计算：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（3）评标基准价的确定：</w:t>
            </w:r>
          </w:p>
          <w:p>
            <w:pPr>
              <w:pStyle w:val="15"/>
              <w:snapToGrid w:val="0"/>
              <w:spacing w:line="320" w:lineRule="exact"/>
              <w:ind w:firstLine="420" w:firstLineChars="200"/>
              <w:jc w:val="both"/>
              <w:rPr>
                <w:rFonts w:hint="eastAsia" w:hAnsi="宋体" w:cs="宋体"/>
                <w:sz w:val="21"/>
                <w:szCs w:val="21"/>
              </w:rPr>
            </w:pPr>
            <w:r>
              <w:rPr>
                <w:rFonts w:hint="eastAsia" w:hAnsi="宋体" w:cs="宋体"/>
                <w:sz w:val="21"/>
                <w:szCs w:val="21"/>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2.2.3</w:t>
            </w:r>
          </w:p>
        </w:tc>
        <w:tc>
          <w:tcPr>
            <w:tcW w:w="1052" w:type="dxa"/>
            <w:vAlign w:val="center"/>
          </w:tcPr>
          <w:p>
            <w:pPr>
              <w:snapToGrid w:val="0"/>
              <w:spacing w:line="320" w:lineRule="exact"/>
              <w:ind w:left="-31" w:leftChars="-15" w:right="-77"/>
              <w:rPr>
                <w:rFonts w:hint="eastAsia" w:ascii="宋体" w:hAnsi="宋体" w:cs="宋体"/>
                <w:szCs w:val="21"/>
              </w:rPr>
            </w:pPr>
            <w:r>
              <w:rPr>
                <w:rFonts w:hint="eastAsia" w:ascii="宋体" w:hAnsi="宋体" w:cs="宋体"/>
                <w:szCs w:val="21"/>
              </w:rPr>
              <w:t>评标价的偏差率计算公式</w:t>
            </w:r>
          </w:p>
        </w:tc>
        <w:tc>
          <w:tcPr>
            <w:tcW w:w="7250" w:type="dxa"/>
            <w:vAlign w:val="center"/>
          </w:tcPr>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3.6.1</w:t>
            </w:r>
          </w:p>
        </w:tc>
        <w:tc>
          <w:tcPr>
            <w:tcW w:w="1052" w:type="dxa"/>
            <w:vAlign w:val="center"/>
          </w:tcPr>
          <w:p>
            <w:pPr>
              <w:snapToGrid w:val="0"/>
              <w:spacing w:line="320" w:lineRule="exact"/>
              <w:ind w:left="-31" w:leftChars="-15" w:right="-77"/>
              <w:rPr>
                <w:rFonts w:hint="eastAsia" w:ascii="宋体" w:hAnsi="宋体" w:cs="宋体"/>
                <w:szCs w:val="21"/>
              </w:rPr>
            </w:pPr>
            <w:r>
              <w:rPr>
                <w:rFonts w:hint="eastAsia" w:ascii="宋体" w:hAnsi="宋体" w:cs="宋体"/>
                <w:szCs w:val="21"/>
              </w:rPr>
              <w:t>投标文件相关信息核查</w:t>
            </w:r>
          </w:p>
        </w:tc>
        <w:tc>
          <w:tcPr>
            <w:tcW w:w="7250" w:type="dxa"/>
            <w:vAlign w:val="center"/>
          </w:tcPr>
          <w:p>
            <w:pPr>
              <w:adjustRightInd w:val="0"/>
              <w:snapToGrid w:val="0"/>
              <w:spacing w:line="320" w:lineRule="exac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hint="eastAsia" w:ascii="宋体" w:hAnsi="宋体" w:cs="宋体"/>
                <w:szCs w:val="21"/>
              </w:rPr>
            </w:pPr>
            <w:r>
              <w:rPr>
                <w:rFonts w:hint="eastAsia" w:ascii="宋体" w:hAnsi="宋体" w:cs="宋体"/>
                <w:szCs w:val="21"/>
              </w:rPr>
              <w:t>（1）评标委员会评标时对投标人的信用情况在“国家企业信用信息公示系统（http://www.gsxt.gov.cn/)”进行查询，若投标人存在被列入“严重违法失信企业名单”情形的（不含分公司），评标委员会应否决其投标。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评标委员会评标时还应对投标人的信用情况在“信用中国网站（http://www.creditchina.gov.cn/)”进行查询，若投标人存在被列入“失信被执行人、异常经营名录、税收违法黑名单、政府采购严重违法失信名单”情形的（均不含分公司），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3.9.1</w:t>
            </w:r>
          </w:p>
        </w:tc>
        <w:tc>
          <w:tcPr>
            <w:tcW w:w="1052" w:type="dxa"/>
            <w:vAlign w:val="center"/>
          </w:tcPr>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评标</w:t>
            </w:r>
          </w:p>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结果</w:t>
            </w:r>
          </w:p>
        </w:tc>
        <w:tc>
          <w:tcPr>
            <w:tcW w:w="7250" w:type="dxa"/>
            <w:vAlign w:val="center"/>
          </w:tcPr>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除第二章“投标人须知”前附表授权直接确定中标人外，评标委员会按照评标办法前附表“1.评标办法”的规定推荐中标候选人。</w:t>
            </w:r>
          </w:p>
        </w:tc>
      </w:tr>
    </w:tbl>
    <w:p>
      <w:pPr>
        <w:jc w:val="right"/>
        <w:rPr>
          <w:rFonts w:ascii="宋体" w:hAnsi="宋体"/>
          <w:szCs w:val="21"/>
        </w:rPr>
      </w:pPr>
      <w:r>
        <w:rPr>
          <w:rFonts w:ascii="宋体" w:hAnsi="宋体"/>
          <w:sz w:val="24"/>
        </w:rPr>
        <w:br w:type="page"/>
      </w:r>
      <w:r>
        <w:rPr>
          <w:rFonts w:hint="eastAsia" w:ascii="宋体" w:hAnsi="宋体"/>
          <w:sz w:val="24"/>
        </w:rPr>
        <w:t>续上表</w:t>
      </w:r>
    </w:p>
    <w:tbl>
      <w:tblPr>
        <w:tblStyle w:val="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87"/>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27" w:type="dxa"/>
            <w:gridSpan w:val="5"/>
            <w:vAlign w:val="center"/>
          </w:tcPr>
          <w:p>
            <w:pPr>
              <w:pStyle w:val="4"/>
              <w:snapToGrid w:val="0"/>
              <w:spacing w:line="320" w:lineRule="exact"/>
              <w:jc w:val="center"/>
              <w:rPr>
                <w:rFonts w:hAnsi="宋体"/>
              </w:rPr>
            </w:pPr>
            <w:r>
              <w:rPr>
                <w:rFonts w:hint="eastAsia" w:hAnsi="宋体"/>
              </w:rPr>
              <w:t>评分因素与权重分值</w:t>
            </w:r>
          </w:p>
        </w:tc>
        <w:tc>
          <w:tcPr>
            <w:tcW w:w="5870" w:type="dxa"/>
            <w:vMerge w:val="restart"/>
            <w:vAlign w:val="center"/>
          </w:tcPr>
          <w:p>
            <w:pPr>
              <w:pStyle w:val="4"/>
              <w:snapToGrid w:val="0"/>
              <w:spacing w:line="320" w:lineRule="exact"/>
              <w:jc w:val="center"/>
              <w:rPr>
                <w:rFonts w:hAnsi="宋体"/>
              </w:rPr>
            </w:pPr>
            <w:r>
              <w:rPr>
                <w:rFonts w:hint="eastAsia"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4"/>
              <w:snapToGrid w:val="0"/>
              <w:spacing w:line="320" w:lineRule="exact"/>
              <w:jc w:val="center"/>
              <w:rPr>
                <w:rFonts w:hAnsi="宋体"/>
              </w:rPr>
            </w:pPr>
            <w:r>
              <w:rPr>
                <w:rFonts w:hint="eastAsia" w:hAnsi="宋体"/>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pStyle w:val="4"/>
              <w:snapToGrid w:val="0"/>
              <w:spacing w:line="320" w:lineRule="exact"/>
              <w:jc w:val="center"/>
              <w:rPr>
                <w:rFonts w:hAnsi="宋体"/>
              </w:rPr>
            </w:pPr>
            <w:r>
              <w:rPr>
                <w:rFonts w:hint="eastAsia" w:hAnsi="宋体"/>
              </w:rPr>
              <w:t>评分因素</w:t>
            </w:r>
          </w:p>
        </w:tc>
        <w:tc>
          <w:tcPr>
            <w:tcW w:w="624" w:type="dxa"/>
            <w:tcBorders>
              <w:top w:val="single" w:color="auto" w:sz="4" w:space="0"/>
              <w:left w:val="single" w:color="auto" w:sz="4" w:space="0"/>
              <w:bottom w:val="single" w:color="auto" w:sz="4" w:space="0"/>
              <w:right w:val="single" w:color="auto" w:sz="4" w:space="0"/>
            </w:tcBorders>
            <w:vAlign w:val="center"/>
          </w:tcPr>
          <w:p>
            <w:pPr>
              <w:pStyle w:val="4"/>
              <w:snapToGrid w:val="0"/>
              <w:spacing w:line="320" w:lineRule="exact"/>
              <w:ind w:left="-40" w:leftChars="-19" w:right="-31" w:rightChars="-15" w:firstLine="1"/>
              <w:jc w:val="center"/>
              <w:rPr>
                <w:rFonts w:hAnsi="宋体"/>
              </w:rPr>
            </w:pPr>
            <w:r>
              <w:rPr>
                <w:rFonts w:hint="eastAsia" w:hAnsi="宋体"/>
              </w:rPr>
              <w:t>评分因素 权重分值</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napToGrid w:val="0"/>
              <w:spacing w:line="320" w:lineRule="exact"/>
              <w:jc w:val="center"/>
              <w:rPr>
                <w:rFonts w:hAnsi="宋体"/>
              </w:rPr>
            </w:pPr>
            <w:r>
              <w:rPr>
                <w:rStyle w:val="17"/>
              </w:rPr>
              <w:t>各评分因素细分项</w:t>
            </w:r>
          </w:p>
        </w:tc>
        <w:tc>
          <w:tcPr>
            <w:tcW w:w="687" w:type="dxa"/>
            <w:tcBorders>
              <w:left w:val="single" w:color="auto" w:sz="4" w:space="0"/>
            </w:tcBorders>
            <w:vAlign w:val="center"/>
          </w:tcPr>
          <w:p>
            <w:pPr>
              <w:pStyle w:val="4"/>
              <w:snapToGrid w:val="0"/>
              <w:spacing w:line="320" w:lineRule="exact"/>
              <w:jc w:val="center"/>
              <w:rPr>
                <w:rFonts w:hAnsi="宋体"/>
              </w:rPr>
            </w:pPr>
            <w:r>
              <w:rPr>
                <w:rFonts w:hint="eastAsia" w:hAnsi="宋体"/>
              </w:rPr>
              <w:t>分值</w:t>
            </w:r>
          </w:p>
        </w:tc>
        <w:tc>
          <w:tcPr>
            <w:tcW w:w="5870" w:type="dxa"/>
            <w:vMerge w:val="continue"/>
            <w:vAlign w:val="center"/>
          </w:tcPr>
          <w:p>
            <w:pPr>
              <w:pStyle w:val="4"/>
              <w:snapToGrid w:val="0"/>
              <w:spacing w:line="32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41" w:type="dxa"/>
            <w:vMerge w:val="restart"/>
            <w:tcBorders>
              <w:top w:val="single" w:color="auto" w:sz="4" w:space="0"/>
            </w:tcBorders>
            <w:vAlign w:val="center"/>
          </w:tcPr>
          <w:p>
            <w:pPr>
              <w:pStyle w:val="4"/>
              <w:snapToGrid w:val="0"/>
              <w:spacing w:line="320" w:lineRule="exact"/>
              <w:jc w:val="center"/>
              <w:rPr>
                <w:rFonts w:hAnsi="宋体"/>
              </w:rPr>
            </w:pPr>
            <w:r>
              <w:rPr>
                <w:rFonts w:hint="eastAsia" w:hAnsi="宋体"/>
              </w:rPr>
              <w:t>2.2.4（1）</w:t>
            </w:r>
          </w:p>
        </w:tc>
        <w:tc>
          <w:tcPr>
            <w:tcW w:w="741" w:type="dxa"/>
            <w:vMerge w:val="restart"/>
            <w:tcBorders>
              <w:top w:val="single" w:color="auto" w:sz="4" w:space="0"/>
            </w:tcBorders>
            <w:vAlign w:val="center"/>
          </w:tcPr>
          <w:p>
            <w:pPr>
              <w:pStyle w:val="4"/>
              <w:snapToGrid w:val="0"/>
              <w:spacing w:line="320" w:lineRule="exact"/>
              <w:jc w:val="center"/>
              <w:rPr>
                <w:rFonts w:hAnsi="宋体"/>
              </w:rPr>
            </w:pPr>
            <w:r>
              <w:rPr>
                <w:rFonts w:hint="eastAsia" w:hAnsi="宋体" w:cs="宋体"/>
              </w:rPr>
              <w:t>实施方案</w:t>
            </w:r>
          </w:p>
        </w:tc>
        <w:tc>
          <w:tcPr>
            <w:tcW w:w="624" w:type="dxa"/>
            <w:vMerge w:val="restart"/>
            <w:tcBorders>
              <w:top w:val="single" w:color="auto" w:sz="4" w:space="0"/>
            </w:tcBorders>
            <w:vAlign w:val="center"/>
          </w:tcPr>
          <w:p>
            <w:pPr>
              <w:pStyle w:val="4"/>
              <w:snapToGrid w:val="0"/>
              <w:spacing w:line="320" w:lineRule="exact"/>
              <w:jc w:val="center"/>
              <w:rPr>
                <w:rFonts w:hAnsi="宋体"/>
              </w:rPr>
            </w:pPr>
            <w:r>
              <w:rPr>
                <w:rFonts w:hint="eastAsia" w:hAnsi="宋体"/>
              </w:rPr>
              <w:t>40分</w:t>
            </w:r>
          </w:p>
        </w:tc>
        <w:tc>
          <w:tcPr>
            <w:tcW w:w="1134" w:type="dxa"/>
            <w:tcBorders>
              <w:top w:val="single" w:color="auto" w:sz="4" w:space="0"/>
            </w:tcBorders>
            <w:vAlign w:val="center"/>
          </w:tcPr>
          <w:p>
            <w:pPr>
              <w:pStyle w:val="4"/>
              <w:snapToGrid w:val="0"/>
              <w:spacing w:line="320" w:lineRule="exact"/>
              <w:jc w:val="center"/>
              <w:rPr>
                <w:rFonts w:hAnsi="宋体"/>
              </w:rPr>
            </w:pPr>
            <w:r>
              <w:rPr>
                <w:rFonts w:hint="eastAsia" w:hAnsi="宋体"/>
              </w:rPr>
              <w:t>项目总体服务方案</w:t>
            </w:r>
          </w:p>
        </w:tc>
        <w:tc>
          <w:tcPr>
            <w:tcW w:w="687" w:type="dxa"/>
            <w:vAlign w:val="center"/>
          </w:tcPr>
          <w:p>
            <w:pPr>
              <w:pStyle w:val="4"/>
              <w:snapToGrid w:val="0"/>
              <w:spacing w:line="320" w:lineRule="exact"/>
              <w:ind w:left="33" w:leftChars="-48" w:right="-31" w:rightChars="-15" w:hanging="134" w:hangingChars="64"/>
              <w:jc w:val="center"/>
              <w:rPr>
                <w:rFonts w:hAnsi="宋体"/>
              </w:rPr>
            </w:pPr>
            <w:r>
              <w:rPr>
                <w:rFonts w:hint="eastAsia" w:hAnsi="宋体"/>
              </w:rPr>
              <w:t>20分</w:t>
            </w:r>
          </w:p>
        </w:tc>
        <w:tc>
          <w:tcPr>
            <w:tcW w:w="5870" w:type="dxa"/>
            <w:vAlign w:val="center"/>
          </w:tcPr>
          <w:p>
            <w:pPr>
              <w:pStyle w:val="15"/>
              <w:snapToGrid w:val="0"/>
              <w:spacing w:line="320" w:lineRule="exact"/>
              <w:rPr>
                <w:rFonts w:hint="eastAsia" w:hAnsi="宋体"/>
                <w:color w:val="auto"/>
                <w:kern w:val="2"/>
                <w:sz w:val="21"/>
                <w:szCs w:val="21"/>
              </w:rPr>
            </w:pPr>
            <w:r>
              <w:rPr>
                <w:rFonts w:hint="eastAsia" w:hAnsi="宋体"/>
                <w:color w:val="auto"/>
                <w:kern w:val="2"/>
                <w:sz w:val="21"/>
                <w:szCs w:val="21"/>
              </w:rPr>
              <w:t xml:space="preserve">根据项目实际要求提出项目实施方案(含现场组织、服务保障、计划安排、质量保证体系)，根据方案描述内容进行综合评定：    </w:t>
            </w:r>
          </w:p>
          <w:p>
            <w:pPr>
              <w:pStyle w:val="15"/>
              <w:snapToGrid w:val="0"/>
              <w:spacing w:line="320" w:lineRule="exact"/>
              <w:rPr>
                <w:rFonts w:hAnsi="宋体"/>
                <w:color w:val="auto"/>
                <w:kern w:val="2"/>
                <w:sz w:val="21"/>
                <w:szCs w:val="21"/>
              </w:rPr>
            </w:pPr>
            <w:r>
              <w:rPr>
                <w:rFonts w:hint="eastAsia" w:hAnsi="宋体"/>
                <w:color w:val="auto"/>
                <w:kern w:val="2"/>
                <w:sz w:val="21"/>
                <w:szCs w:val="21"/>
              </w:rPr>
              <w:t>优秀得16-20分；良好得12-16分；一般得12分。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vAlign w:val="center"/>
          </w:tcPr>
          <w:p>
            <w:pPr>
              <w:pStyle w:val="4"/>
              <w:snapToGrid w:val="0"/>
              <w:spacing w:line="320" w:lineRule="exact"/>
              <w:jc w:val="center"/>
              <w:rPr>
                <w:rFonts w:hint="eastAsia" w:hAnsi="宋体"/>
              </w:rPr>
            </w:pPr>
          </w:p>
        </w:tc>
        <w:tc>
          <w:tcPr>
            <w:tcW w:w="741" w:type="dxa"/>
            <w:vMerge w:val="continue"/>
            <w:vAlign w:val="center"/>
          </w:tcPr>
          <w:p>
            <w:pPr>
              <w:pStyle w:val="4"/>
              <w:snapToGrid w:val="0"/>
              <w:spacing w:line="320" w:lineRule="exact"/>
              <w:jc w:val="center"/>
              <w:rPr>
                <w:rFonts w:hint="eastAsia" w:hAnsi="宋体"/>
              </w:rPr>
            </w:pPr>
          </w:p>
        </w:tc>
        <w:tc>
          <w:tcPr>
            <w:tcW w:w="624" w:type="dxa"/>
            <w:vMerge w:val="continue"/>
            <w:vAlign w:val="center"/>
          </w:tcPr>
          <w:p>
            <w:pPr>
              <w:pStyle w:val="4"/>
              <w:snapToGrid w:val="0"/>
              <w:spacing w:line="320" w:lineRule="exact"/>
              <w:jc w:val="center"/>
              <w:rPr>
                <w:rFonts w:hAnsi="宋体"/>
              </w:rPr>
            </w:pPr>
          </w:p>
        </w:tc>
        <w:tc>
          <w:tcPr>
            <w:tcW w:w="1134" w:type="dxa"/>
            <w:tcBorders>
              <w:top w:val="single" w:color="auto" w:sz="4" w:space="0"/>
            </w:tcBorders>
            <w:vAlign w:val="center"/>
          </w:tcPr>
          <w:p>
            <w:pPr>
              <w:pStyle w:val="4"/>
              <w:snapToGrid w:val="0"/>
              <w:spacing w:line="320" w:lineRule="exact"/>
              <w:jc w:val="center"/>
              <w:rPr>
                <w:rFonts w:hAnsi="宋体"/>
              </w:rPr>
            </w:pPr>
            <w:r>
              <w:rPr>
                <w:rFonts w:hint="eastAsia" w:hAnsi="宋体"/>
              </w:rPr>
              <w:t>服务团队</w:t>
            </w:r>
          </w:p>
        </w:tc>
        <w:tc>
          <w:tcPr>
            <w:tcW w:w="687" w:type="dxa"/>
            <w:vAlign w:val="center"/>
          </w:tcPr>
          <w:p>
            <w:pPr>
              <w:pStyle w:val="4"/>
              <w:snapToGrid w:val="0"/>
              <w:spacing w:line="320" w:lineRule="exact"/>
              <w:ind w:left="33" w:leftChars="-48" w:right="-31" w:rightChars="-15" w:hanging="134" w:hangingChars="64"/>
              <w:jc w:val="center"/>
              <w:rPr>
                <w:rFonts w:hAnsi="宋体"/>
              </w:rPr>
            </w:pPr>
            <w:r>
              <w:rPr>
                <w:rFonts w:hint="eastAsia" w:hAnsi="宋体"/>
              </w:rPr>
              <w:t>10分</w:t>
            </w:r>
          </w:p>
        </w:tc>
        <w:tc>
          <w:tcPr>
            <w:tcW w:w="5870" w:type="dxa"/>
            <w:vAlign w:val="center"/>
          </w:tcPr>
          <w:p>
            <w:pPr>
              <w:pStyle w:val="15"/>
              <w:snapToGrid w:val="0"/>
              <w:spacing w:line="320" w:lineRule="exact"/>
              <w:rPr>
                <w:rFonts w:hint="eastAsia"/>
                <w:sz w:val="21"/>
                <w:szCs w:val="21"/>
              </w:rPr>
            </w:pPr>
            <w:r>
              <w:rPr>
                <w:rFonts w:hint="eastAsia"/>
                <w:sz w:val="21"/>
                <w:szCs w:val="21"/>
              </w:rPr>
              <w:t>根据项目服务团队的组织机构和人员构成情况（包括针对本项目任职和具体分工、人员素质等）进行综合比较评价：</w:t>
            </w:r>
          </w:p>
          <w:p>
            <w:r>
              <w:rPr>
                <w:rFonts w:hint="eastAsia" w:ascii="宋体"/>
                <w:color w:val="000000"/>
                <w:kern w:val="0"/>
                <w:szCs w:val="21"/>
              </w:rPr>
              <w:t>优秀得8-10分；良好得6-8分；一般得6分。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vAlign w:val="center"/>
          </w:tcPr>
          <w:p>
            <w:pPr>
              <w:pStyle w:val="4"/>
              <w:snapToGrid w:val="0"/>
              <w:spacing w:line="320" w:lineRule="exact"/>
              <w:jc w:val="center"/>
              <w:rPr>
                <w:rFonts w:hint="eastAsia" w:hAnsi="宋体"/>
              </w:rPr>
            </w:pPr>
          </w:p>
        </w:tc>
        <w:tc>
          <w:tcPr>
            <w:tcW w:w="741" w:type="dxa"/>
            <w:vMerge w:val="continue"/>
            <w:vAlign w:val="center"/>
          </w:tcPr>
          <w:p>
            <w:pPr>
              <w:pStyle w:val="4"/>
              <w:snapToGrid w:val="0"/>
              <w:spacing w:line="320" w:lineRule="exact"/>
              <w:jc w:val="center"/>
              <w:rPr>
                <w:rFonts w:hint="eastAsia" w:hAnsi="宋体"/>
              </w:rPr>
            </w:pPr>
          </w:p>
        </w:tc>
        <w:tc>
          <w:tcPr>
            <w:tcW w:w="624" w:type="dxa"/>
            <w:vMerge w:val="continue"/>
            <w:vAlign w:val="center"/>
          </w:tcPr>
          <w:p>
            <w:pPr>
              <w:pStyle w:val="4"/>
              <w:snapToGrid w:val="0"/>
              <w:spacing w:line="320" w:lineRule="exact"/>
              <w:jc w:val="center"/>
              <w:rPr>
                <w:rFonts w:hAnsi="宋体"/>
              </w:rPr>
            </w:pPr>
          </w:p>
        </w:tc>
        <w:tc>
          <w:tcPr>
            <w:tcW w:w="1134" w:type="dxa"/>
            <w:tcBorders>
              <w:top w:val="single" w:color="auto" w:sz="4" w:space="0"/>
            </w:tcBorders>
            <w:vAlign w:val="center"/>
          </w:tcPr>
          <w:p>
            <w:pPr>
              <w:pStyle w:val="4"/>
              <w:snapToGrid w:val="0"/>
              <w:spacing w:line="320" w:lineRule="exact"/>
              <w:jc w:val="center"/>
              <w:rPr>
                <w:rFonts w:hint="eastAsia" w:hAnsi="宋体"/>
              </w:rPr>
            </w:pPr>
            <w:r>
              <w:rPr>
                <w:rFonts w:hint="eastAsia" w:hAnsi="宋体"/>
              </w:rPr>
              <w:t>保密和信息安全服务措施</w:t>
            </w:r>
          </w:p>
        </w:tc>
        <w:tc>
          <w:tcPr>
            <w:tcW w:w="687" w:type="dxa"/>
            <w:vAlign w:val="center"/>
          </w:tcPr>
          <w:p>
            <w:pPr>
              <w:pStyle w:val="4"/>
              <w:snapToGrid w:val="0"/>
              <w:spacing w:line="320" w:lineRule="exact"/>
              <w:ind w:left="33" w:leftChars="-48" w:right="-31" w:rightChars="-15" w:hanging="134" w:hangingChars="64"/>
              <w:jc w:val="center"/>
              <w:rPr>
                <w:rFonts w:hint="eastAsia" w:hAnsi="宋体"/>
              </w:rPr>
            </w:pPr>
            <w:r>
              <w:rPr>
                <w:rFonts w:hint="eastAsia" w:hAnsi="宋体"/>
              </w:rPr>
              <w:t>10分</w:t>
            </w:r>
          </w:p>
        </w:tc>
        <w:tc>
          <w:tcPr>
            <w:tcW w:w="5870" w:type="dxa"/>
            <w:vAlign w:val="center"/>
          </w:tcPr>
          <w:p>
            <w:pPr>
              <w:pStyle w:val="15"/>
              <w:snapToGrid w:val="0"/>
              <w:spacing w:line="320" w:lineRule="exact"/>
              <w:rPr>
                <w:rFonts w:hint="eastAsia"/>
                <w:sz w:val="21"/>
                <w:szCs w:val="21"/>
              </w:rPr>
            </w:pPr>
            <w:r>
              <w:rPr>
                <w:rFonts w:hint="eastAsia"/>
                <w:sz w:val="21"/>
                <w:szCs w:val="21"/>
              </w:rPr>
              <w:t>根据投标人保密和信息安全措施的优劣进行横向比较评价：</w:t>
            </w:r>
          </w:p>
          <w:p>
            <w:pPr>
              <w:rPr>
                <w:rFonts w:hint="eastAsia"/>
              </w:rPr>
            </w:pPr>
            <w:r>
              <w:rPr>
                <w:rFonts w:hint="eastAsia" w:ascii="宋体"/>
                <w:color w:val="000000"/>
                <w:kern w:val="0"/>
                <w:szCs w:val="21"/>
              </w:rPr>
              <w:t>优秀得8-10分；良好得6-8分；一般得6分。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Align w:val="center"/>
          </w:tcPr>
          <w:p>
            <w:pPr>
              <w:pStyle w:val="4"/>
              <w:snapToGrid w:val="0"/>
              <w:spacing w:line="320" w:lineRule="exact"/>
              <w:jc w:val="center"/>
              <w:rPr>
                <w:rFonts w:hAnsi="宋体"/>
              </w:rPr>
            </w:pPr>
            <w:r>
              <w:rPr>
                <w:rFonts w:hint="eastAsia" w:hAnsi="宋体"/>
              </w:rPr>
              <w:t>2.2.4（3）</w:t>
            </w:r>
          </w:p>
        </w:tc>
        <w:tc>
          <w:tcPr>
            <w:tcW w:w="741" w:type="dxa"/>
            <w:vAlign w:val="center"/>
          </w:tcPr>
          <w:p>
            <w:pPr>
              <w:pStyle w:val="4"/>
              <w:snapToGrid w:val="0"/>
              <w:spacing w:line="320" w:lineRule="exact"/>
              <w:jc w:val="center"/>
              <w:rPr>
                <w:rFonts w:hAnsi="宋体"/>
              </w:rPr>
            </w:pPr>
            <w:r>
              <w:rPr>
                <w:rFonts w:hint="eastAsia" w:hAnsi="宋体"/>
              </w:rPr>
              <w:t>评标价</w:t>
            </w:r>
          </w:p>
        </w:tc>
        <w:tc>
          <w:tcPr>
            <w:tcW w:w="624" w:type="dxa"/>
            <w:vAlign w:val="center"/>
          </w:tcPr>
          <w:p>
            <w:pPr>
              <w:pStyle w:val="4"/>
              <w:snapToGrid w:val="0"/>
              <w:spacing w:line="320" w:lineRule="exact"/>
              <w:jc w:val="center"/>
              <w:rPr>
                <w:rFonts w:hAnsi="宋体"/>
              </w:rPr>
            </w:pPr>
            <w:r>
              <w:rPr>
                <w:rFonts w:hint="eastAsia" w:hAnsi="宋体"/>
              </w:rPr>
              <w:t>30分</w:t>
            </w:r>
          </w:p>
        </w:tc>
        <w:tc>
          <w:tcPr>
            <w:tcW w:w="7691" w:type="dxa"/>
            <w:gridSpan w:val="3"/>
            <w:tcBorders>
              <w:top w:val="single" w:color="auto" w:sz="4" w:space="0"/>
            </w:tcBorders>
            <w:vAlign w:val="center"/>
          </w:tcPr>
          <w:p>
            <w:pPr>
              <w:snapToGrid w:val="0"/>
              <w:spacing w:line="320" w:lineRule="exact"/>
              <w:rPr>
                <w:rFonts w:ascii="宋体" w:hAnsi="宋体"/>
                <w:szCs w:val="21"/>
              </w:rPr>
            </w:pPr>
            <w:r>
              <w:rPr>
                <w:rFonts w:hint="eastAsia" w:ascii="宋体" w:hAnsi="宋体"/>
                <w:szCs w:val="21"/>
              </w:rPr>
              <w:t>评标价得分计算公式示例：</w:t>
            </w:r>
          </w:p>
          <w:p>
            <w:pPr>
              <w:snapToGrid w:val="0"/>
              <w:spacing w:line="320" w:lineRule="exact"/>
              <w:rPr>
                <w:rFonts w:ascii="宋体" w:hAnsi="宋体"/>
                <w:szCs w:val="21"/>
              </w:rPr>
            </w:pPr>
            <w:r>
              <w:rPr>
                <w:rFonts w:hint="eastAsia" w:ascii="宋体" w:hAnsi="宋体"/>
                <w:szCs w:val="21"/>
              </w:rPr>
              <w:t>（1）如果投标人的评标价＞评标基准价，则评标价得分=F-（投标人评标价-评标基准价）/评标基准价×100×E1；</w:t>
            </w:r>
          </w:p>
          <w:p>
            <w:pPr>
              <w:snapToGrid w:val="0"/>
              <w:spacing w:line="320" w:lineRule="exact"/>
              <w:rPr>
                <w:rFonts w:ascii="宋体" w:hAnsi="宋体"/>
                <w:szCs w:val="21"/>
              </w:rPr>
            </w:pPr>
            <w:r>
              <w:rPr>
                <w:rFonts w:hint="eastAsia" w:ascii="宋体" w:hAnsi="宋体"/>
                <w:szCs w:val="21"/>
              </w:rPr>
              <w:t>（2）如果投标人的评标价≤评标基准价，则评标价得分=F+(投标人评标价-评标基准价)/评标基准价×100×E2。</w:t>
            </w:r>
          </w:p>
          <w:p>
            <w:pPr>
              <w:snapToGrid w:val="0"/>
              <w:spacing w:line="320" w:lineRule="exact"/>
              <w:jc w:val="left"/>
              <w:rPr>
                <w:rFonts w:ascii="宋体" w:hAnsi="宋体"/>
                <w:szCs w:val="21"/>
              </w:rPr>
            </w:pPr>
            <w:r>
              <w:rPr>
                <w:rFonts w:hint="eastAsia" w:ascii="宋体" w:hAnsi="宋体"/>
                <w:szCs w:val="21"/>
              </w:rPr>
              <w:t>其中，F=10；E1=0.2；E2=0.1；评标价最低得分为0分。</w:t>
            </w:r>
          </w:p>
          <w:p>
            <w:pPr>
              <w:snapToGrid w:val="0"/>
              <w:spacing w:line="320" w:lineRule="exact"/>
              <w:jc w:val="left"/>
              <w:rPr>
                <w:rFonts w:hint="eastAsia" w:ascii="宋体" w:hAnsi="宋体"/>
                <w:szCs w:val="21"/>
              </w:rPr>
            </w:pPr>
            <w:r>
              <w:rPr>
                <w:rFonts w:hint="eastAsia" w:ascii="宋体" w:hAnsi="宋体"/>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41" w:type="dxa"/>
            <w:vAlign w:val="center"/>
          </w:tcPr>
          <w:p>
            <w:pPr>
              <w:pStyle w:val="4"/>
              <w:snapToGrid w:val="0"/>
              <w:spacing w:line="320" w:lineRule="exact"/>
              <w:jc w:val="center"/>
              <w:rPr>
                <w:rFonts w:hAnsi="宋体"/>
              </w:rPr>
            </w:pPr>
            <w:r>
              <w:rPr>
                <w:rFonts w:hint="eastAsia" w:hAnsi="宋体"/>
              </w:rPr>
              <w:t>2.2.4（4）</w:t>
            </w:r>
          </w:p>
        </w:tc>
        <w:tc>
          <w:tcPr>
            <w:tcW w:w="741" w:type="dxa"/>
            <w:vAlign w:val="center"/>
          </w:tcPr>
          <w:p>
            <w:pPr>
              <w:pStyle w:val="4"/>
              <w:snapToGrid w:val="0"/>
              <w:spacing w:line="320" w:lineRule="exact"/>
              <w:jc w:val="center"/>
              <w:rPr>
                <w:rFonts w:hAnsi="宋体"/>
              </w:rPr>
            </w:pPr>
            <w:r>
              <w:rPr>
                <w:rFonts w:hint="eastAsia" w:hAnsi="宋体"/>
              </w:rPr>
              <w:t>其他因素</w:t>
            </w:r>
          </w:p>
        </w:tc>
        <w:tc>
          <w:tcPr>
            <w:tcW w:w="624" w:type="dxa"/>
            <w:tcBorders>
              <w:top w:val="single" w:color="auto" w:sz="4" w:space="0"/>
            </w:tcBorders>
            <w:vAlign w:val="center"/>
          </w:tcPr>
          <w:p>
            <w:pPr>
              <w:pStyle w:val="4"/>
              <w:snapToGrid w:val="0"/>
              <w:spacing w:line="320" w:lineRule="exact"/>
              <w:jc w:val="center"/>
              <w:rPr>
                <w:rFonts w:hAnsi="宋体"/>
              </w:rPr>
            </w:pPr>
            <w:r>
              <w:rPr>
                <w:rFonts w:hint="eastAsia" w:hAnsi="宋体"/>
              </w:rPr>
              <w:t>30分</w:t>
            </w:r>
          </w:p>
        </w:tc>
        <w:tc>
          <w:tcPr>
            <w:tcW w:w="1134" w:type="dxa"/>
            <w:tcBorders>
              <w:top w:val="single" w:color="auto" w:sz="4" w:space="0"/>
              <w:bottom w:val="single" w:color="auto" w:sz="4" w:space="0"/>
            </w:tcBorders>
            <w:vAlign w:val="center"/>
          </w:tcPr>
          <w:p>
            <w:pPr>
              <w:pStyle w:val="4"/>
              <w:snapToGrid w:val="0"/>
              <w:spacing w:line="320" w:lineRule="exact"/>
              <w:jc w:val="center"/>
              <w:rPr>
                <w:rFonts w:hAnsi="宋体"/>
              </w:rPr>
            </w:pPr>
            <w:r>
              <w:rPr>
                <w:rFonts w:hint="eastAsia" w:hAnsi="宋体"/>
              </w:rPr>
              <w:t>业绩</w:t>
            </w:r>
          </w:p>
        </w:tc>
        <w:tc>
          <w:tcPr>
            <w:tcW w:w="687" w:type="dxa"/>
            <w:tcBorders>
              <w:top w:val="single" w:color="auto" w:sz="4" w:space="0"/>
              <w:bottom w:val="single" w:color="auto" w:sz="4" w:space="0"/>
            </w:tcBorders>
            <w:vAlign w:val="center"/>
          </w:tcPr>
          <w:p>
            <w:pPr>
              <w:pStyle w:val="4"/>
              <w:snapToGrid w:val="0"/>
              <w:spacing w:line="320" w:lineRule="exact"/>
              <w:jc w:val="center"/>
              <w:rPr>
                <w:rFonts w:hAnsi="宋体"/>
              </w:rPr>
            </w:pPr>
            <w:r>
              <w:rPr>
                <w:rFonts w:hint="eastAsia" w:hAnsi="宋体"/>
              </w:rPr>
              <w:t>30分</w:t>
            </w:r>
          </w:p>
        </w:tc>
        <w:tc>
          <w:tcPr>
            <w:tcW w:w="5870" w:type="dxa"/>
            <w:tcBorders>
              <w:top w:val="single" w:color="auto" w:sz="4" w:space="0"/>
              <w:bottom w:val="single" w:color="auto" w:sz="4" w:space="0"/>
            </w:tcBorders>
            <w:vAlign w:val="center"/>
          </w:tcPr>
          <w:p>
            <w:pPr>
              <w:snapToGrid w:val="0"/>
              <w:spacing w:line="320" w:lineRule="exact"/>
              <w:rPr>
                <w:rFonts w:ascii="宋体" w:hAnsi="宋体"/>
                <w:szCs w:val="21"/>
              </w:rPr>
            </w:pPr>
            <w:r>
              <w:rPr>
                <w:rFonts w:hint="eastAsia" w:ascii="宋体" w:hAnsi="宋体"/>
                <w:szCs w:val="21"/>
              </w:rPr>
              <w:t>1、满足投</w:t>
            </w:r>
            <w:r>
              <w:rPr>
                <w:rFonts w:hint="eastAsia" w:ascii="宋体" w:hAnsi="宋体" w:cs="宋体"/>
                <w:spacing w:val="-4"/>
                <w:szCs w:val="21"/>
              </w:rPr>
              <w:t>标人须知前附表附录2</w:t>
            </w:r>
            <w:r>
              <w:rPr>
                <w:rFonts w:hint="eastAsia" w:ascii="宋体" w:hAnsi="宋体"/>
                <w:szCs w:val="21"/>
              </w:rPr>
              <w:t>资格审查条件（业绩最低要求）得18分；</w:t>
            </w:r>
          </w:p>
          <w:p>
            <w:pPr>
              <w:snapToGrid w:val="0"/>
              <w:spacing w:line="320" w:lineRule="exact"/>
              <w:rPr>
                <w:rFonts w:hint="eastAsia" w:ascii="宋体" w:hAnsi="宋体"/>
                <w:szCs w:val="21"/>
              </w:rPr>
            </w:pPr>
            <w:r>
              <w:rPr>
                <w:rFonts w:hint="eastAsia" w:ascii="宋体" w:hAnsi="宋体"/>
                <w:szCs w:val="21"/>
              </w:rPr>
              <w:t>2、每增加一个满足投</w:t>
            </w:r>
            <w:r>
              <w:rPr>
                <w:rFonts w:hint="eastAsia" w:ascii="宋体" w:hAnsi="宋体" w:cs="宋体"/>
                <w:spacing w:val="-4"/>
                <w:szCs w:val="21"/>
              </w:rPr>
              <w:t>标人须知前附表附录2</w:t>
            </w:r>
            <w:r>
              <w:rPr>
                <w:rFonts w:hint="eastAsia" w:ascii="宋体" w:hAnsi="宋体"/>
                <w:szCs w:val="21"/>
              </w:rPr>
              <w:t>资格审查条件（业绩最低要求）的业绩加4分，本项最多加12分。</w:t>
            </w:r>
          </w:p>
        </w:tc>
      </w:tr>
    </w:tbl>
    <w:p>
      <w:pPr>
        <w:pStyle w:val="4"/>
        <w:rPr>
          <w:rFonts w:hAnsi="宋体"/>
        </w:rPr>
      </w:pPr>
    </w:p>
    <w:p>
      <w:pPr>
        <w:pStyle w:val="4"/>
        <w:rPr>
          <w:rFonts w:hAnsi="宋体"/>
        </w:rPr>
      </w:pPr>
      <w:r>
        <w:rPr>
          <w:rFonts w:hint="eastAsia" w:hAnsi="宋体"/>
        </w:rPr>
        <w:t>注：1、</w:t>
      </w:r>
      <w:r>
        <w:rPr>
          <w:rFonts w:hAnsi="宋体"/>
        </w:rPr>
        <w:t>各评分因素得分应以评标委员会各成员的打分平均值确定</w:t>
      </w:r>
      <w:r>
        <w:rPr>
          <w:rFonts w:hint="eastAsia" w:hAnsi="宋体"/>
        </w:rPr>
        <w:t>。</w:t>
      </w:r>
    </w:p>
    <w:p>
      <w:pPr>
        <w:pStyle w:val="4"/>
        <w:ind w:firstLine="428" w:firstLineChars="204"/>
        <w:rPr>
          <w:rFonts w:hAnsi="宋体"/>
        </w:rPr>
      </w:pPr>
      <w:r>
        <w:rPr>
          <w:rFonts w:hint="eastAsia" w:hAnsi="宋体"/>
        </w:rPr>
        <w:t>2、缺项则该项得0分。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A93C77"/>
    <w:rsid w:val="0096503F"/>
    <w:rsid w:val="00A80D3F"/>
    <w:rsid w:val="00A93C77"/>
    <w:rsid w:val="00C76827"/>
    <w:rsid w:val="2463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2"/>
    <w:qFormat/>
    <w:uiPriority w:val="0"/>
    <w:pPr>
      <w:keepNext/>
      <w:keepLines/>
      <w:spacing w:before="260" w:after="260" w:line="412"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lock Text"/>
    <w:basedOn w:val="1"/>
    <w:semiHidden/>
    <w:unhideWhenUsed/>
    <w:uiPriority w:val="99"/>
    <w:pPr>
      <w:spacing w:after="120"/>
      <w:ind w:left="1440" w:leftChars="700" w:right="1440" w:rightChars="700"/>
    </w:pPr>
  </w:style>
  <w:style w:type="paragraph" w:styleId="4">
    <w:name w:val="Plain Text"/>
    <w:basedOn w:val="1"/>
    <w:next w:val="1"/>
    <w:link w:val="13"/>
    <w:uiPriority w:val="99"/>
    <w:rPr>
      <w:rFonts w:ascii="宋体"/>
      <w:szCs w:val="21"/>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4"/>
    <w:qFormat/>
    <w:uiPriority w:val="0"/>
    <w:pPr>
      <w:widowControl/>
      <w:spacing w:before="100" w:beforeAutospacing="1" w:after="100" w:afterAutospacing="1"/>
      <w:jc w:val="left"/>
    </w:pPr>
    <w:rPr>
      <w:rFonts w:ascii="宋体" w:cs="Arial"/>
      <w:color w:val="0000FF"/>
      <w:kern w:val="0"/>
      <w:sz w:val="24"/>
    </w:r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3 Char"/>
    <w:basedOn w:val="9"/>
    <w:link w:val="3"/>
    <w:uiPriority w:val="0"/>
    <w:rPr>
      <w:rFonts w:ascii="Times New Roman" w:hAnsi="Times New Roman" w:eastAsia="宋体" w:cs="Times New Roman"/>
      <w:b/>
      <w:bCs/>
      <w:sz w:val="32"/>
      <w:szCs w:val="32"/>
    </w:rPr>
  </w:style>
  <w:style w:type="character" w:customStyle="1" w:styleId="13">
    <w:name w:val="纯文本 Char"/>
    <w:basedOn w:val="9"/>
    <w:link w:val="4"/>
    <w:uiPriority w:val="99"/>
    <w:rPr>
      <w:rFonts w:ascii="宋体" w:hAnsi="Times New Roman" w:eastAsia="宋体" w:cs="Times New Roman"/>
      <w:szCs w:val="21"/>
    </w:rPr>
  </w:style>
  <w:style w:type="character" w:customStyle="1" w:styleId="14">
    <w:name w:val="普通(网站) Char"/>
    <w:link w:val="7"/>
    <w:qFormat/>
    <w:uiPriority w:val="0"/>
    <w:rPr>
      <w:rFonts w:ascii="宋体" w:hAnsi="Times New Roman" w:eastAsia="宋体" w:cs="Arial"/>
      <w:color w:val="0000FF"/>
      <w:kern w:val="0"/>
      <w:sz w:val="24"/>
      <w:szCs w:val="24"/>
    </w:rPr>
  </w:style>
  <w:style w:type="paragraph" w:customStyle="1" w:styleId="15">
    <w:name w:val="Default"/>
    <w:next w:val="1"/>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6">
    <w:name w:val="目录3"/>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character" w:customStyle="1" w:styleId="1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4462</Words>
  <Characters>4851</Characters>
  <Lines>36</Lines>
  <Paragraphs>10</Paragraphs>
  <TotalTime>1</TotalTime>
  <ScaleCrop>false</ScaleCrop>
  <LinksUpToDate>false</LinksUpToDate>
  <CharactersWithSpaces>4914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2022-08-22T02:22:00Z</dcterms:created>
  <dc:creator>john</dc:creator>
  <cp:lastModifiedBy>招标管理办公室</cp:lastModifiedBy>
  <dcterms:modified xsi:type="dcterms:W3CDTF">2022-08-22T02:35:02Z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D6C221D3CF524336A6D89F45CC72A127</vt:lpwstr>
  </property>
</Properties>
</file>