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82" w:firstLineChars="200"/>
        <w:jc w:val="left"/>
        <w:rPr>
          <w:rFonts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3"/>
        <w:spacing w:line="300" w:lineRule="exact"/>
        <w:jc w:val="center"/>
        <w:rPr>
          <w:rFonts w:ascii="宋体" w:hAnsi="宋体"/>
          <w:sz w:val="24"/>
          <w:szCs w:val="24"/>
        </w:rPr>
      </w:pPr>
      <w:r>
        <w:rPr>
          <w:rFonts w:hint="eastAsia" w:ascii="宋体" w:hAnsi="宋体"/>
          <w:sz w:val="24"/>
          <w:szCs w:val="24"/>
        </w:rPr>
        <w:t>附录1 资格审查条件（资质最低要求）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具有独立法人资格，具有有效的事业单位法人证书或企业法人营业执照；</w:t>
            </w:r>
          </w:p>
          <w:p>
            <w:pPr>
              <w:spacing w:line="288" w:lineRule="auto"/>
              <w:ind w:firstLine="420" w:firstLineChars="200"/>
              <w:rPr>
                <w:rFonts w:ascii="宋体" w:hAnsi="宋体"/>
                <w:szCs w:val="21"/>
                <w:lang w:val="zh-CN"/>
              </w:rPr>
            </w:pPr>
            <w:r>
              <w:rPr>
                <w:rFonts w:hint="eastAsia" w:ascii="宋体" w:hAnsi="宋体"/>
                <w:szCs w:val="21"/>
                <w:lang w:val="zh-CN"/>
              </w:rPr>
              <w:t>具备卫生行政管理部门颁发的《医疗机构执业许可证》。</w:t>
            </w:r>
          </w:p>
        </w:tc>
      </w:tr>
    </w:tbl>
    <w:p>
      <w:pPr>
        <w:jc w:val="center"/>
        <w:rPr>
          <w:rFonts w:ascii="宋体" w:hAnsi="宋体"/>
          <w:b/>
          <w:sz w:val="28"/>
        </w:rPr>
      </w:pPr>
    </w:p>
    <w:p>
      <w:pPr>
        <w:pStyle w:val="3"/>
        <w:spacing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bookmarkStart w:id="0" w:name="_Hlk51692819"/>
            <w:bookmarkStart w:id="1" w:name="_Hlk50454153"/>
            <w:r>
              <w:rPr>
                <w:rFonts w:hint="eastAsia" w:ascii="宋体" w:hAnsi="宋体"/>
                <w:szCs w:val="21"/>
              </w:rPr>
              <w:t>近</w:t>
            </w:r>
            <w:r>
              <w:rPr>
                <w:rFonts w:ascii="宋体" w:hAnsi="宋体"/>
                <w:szCs w:val="21"/>
              </w:rPr>
              <w:t>3</w:t>
            </w:r>
            <w:r>
              <w:rPr>
                <w:rFonts w:hint="eastAsia" w:ascii="宋体" w:hAnsi="宋体"/>
                <w:szCs w:val="21"/>
              </w:rPr>
              <w:t>年内（20</w:t>
            </w:r>
            <w:r>
              <w:rPr>
                <w:rFonts w:ascii="宋体" w:hAnsi="宋体"/>
                <w:szCs w:val="21"/>
              </w:rPr>
              <w:t>19</w:t>
            </w:r>
            <w:r>
              <w:rPr>
                <w:rFonts w:hint="eastAsia" w:ascii="宋体" w:hAnsi="宋体"/>
                <w:szCs w:val="21"/>
              </w:rPr>
              <w:t>年</w:t>
            </w:r>
            <w:r>
              <w:rPr>
                <w:rFonts w:ascii="宋体" w:hAnsi="宋体"/>
                <w:szCs w:val="21"/>
              </w:rPr>
              <w:t>7月</w:t>
            </w:r>
            <w:r>
              <w:rPr>
                <w:rFonts w:hint="eastAsia" w:ascii="宋体" w:hAnsi="宋体"/>
                <w:szCs w:val="21"/>
              </w:rPr>
              <w:t>1日至今，以合同签订时间为准）投标人至少承担过一项体检项目业绩。</w:t>
            </w:r>
            <w:bookmarkEnd w:id="0"/>
            <w:bookmarkEnd w:id="1"/>
          </w:p>
        </w:tc>
      </w:tr>
    </w:tbl>
    <w:p>
      <w:pPr>
        <w:jc w:val="center"/>
        <w:rPr>
          <w:rFonts w:ascii="宋体" w:hAnsi="宋体"/>
          <w:b/>
          <w:sz w:val="24"/>
        </w:rPr>
      </w:pPr>
    </w:p>
    <w:p>
      <w:pPr>
        <w:pStyle w:val="3"/>
        <w:spacing w:before="120" w:line="300" w:lineRule="exact"/>
        <w:jc w:val="center"/>
        <w:rPr>
          <w:rFonts w:ascii="宋体" w:hAnsi="宋体"/>
          <w:sz w:val="24"/>
          <w:szCs w:val="24"/>
        </w:rPr>
      </w:pPr>
      <w:bookmarkStart w:id="2" w:name="_Hlk108767925"/>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bookmarkEnd w:id="2"/>
      <w:r>
        <w:rPr>
          <w:rFonts w:hint="eastAsia" w:ascii="宋体" w:hAnsi="宋体"/>
          <w:sz w:val="24"/>
          <w:szCs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21</w:t>
            </w:r>
            <w:r>
              <w:rPr>
                <w:rFonts w:hint="eastAsia" w:ascii="宋体" w:hAnsi="宋体"/>
              </w:rPr>
              <w:t>年</w:t>
            </w:r>
            <w:r>
              <w:rPr>
                <w:rFonts w:ascii="宋体" w:hAnsi="宋体"/>
              </w:rPr>
              <w:t>7</w:t>
            </w:r>
            <w:r>
              <w:rPr>
                <w:rFonts w:hint="eastAsia" w:ascii="宋体" w:hAnsi="宋体"/>
              </w:rPr>
              <w:t>月1日至今)</w:t>
            </w:r>
            <w:r>
              <w:rPr>
                <w:rFonts w:hint="eastAsia" w:ascii="宋体" w:hAnsi="宋体"/>
                <w:szCs w:val="21"/>
              </w:rPr>
              <w:t>不曾在体检合同中违约而被驱逐或因投标人自身的原因而使体检合同被解除。</w:t>
            </w:r>
          </w:p>
        </w:tc>
      </w:tr>
    </w:tbl>
    <w:p>
      <w:pPr>
        <w:spacing w:line="360" w:lineRule="exact"/>
        <w:jc w:val="left"/>
        <w:rPr>
          <w:rFonts w:ascii="宋体" w:hAnsi="宋体"/>
          <w:b/>
          <w:sz w:val="24"/>
        </w:rPr>
      </w:pPr>
    </w:p>
    <w:p>
      <w:pPr>
        <w:spacing w:line="360" w:lineRule="exact"/>
        <w:jc w:val="center"/>
        <w:rPr>
          <w:rFonts w:ascii="宋体" w:hAnsi="宋体"/>
          <w:b/>
          <w:sz w:val="24"/>
        </w:rPr>
      </w:pPr>
      <w:r>
        <w:rPr>
          <w:rFonts w:hint="eastAsia" w:ascii="宋体" w:hAnsi="宋体"/>
          <w:b/>
          <w:sz w:val="24"/>
        </w:rPr>
        <w:t>附录</w:t>
      </w:r>
      <w:r>
        <w:rPr>
          <w:rFonts w:ascii="宋体" w:hAnsi="宋体"/>
          <w:b/>
          <w:sz w:val="24"/>
        </w:rPr>
        <w:t>4</w:t>
      </w:r>
      <w:r>
        <w:rPr>
          <w:rFonts w:hint="eastAsia" w:ascii="宋体" w:hAnsi="宋体"/>
          <w:b/>
          <w:sz w:val="24"/>
        </w:rPr>
        <w:t xml:space="preserve"> 资格审查条件（其他要求）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bookmarkStart w:id="4" w:name="_GoBack"/>
            <w:r>
              <w:rPr>
                <w:rFonts w:hint="eastAsia" w:ascii="宋体" w:hAnsi="宋体"/>
                <w:szCs w:val="21"/>
              </w:rPr>
              <w:t xml:space="preserve">其他要求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投标人在张家口市桥东区、经开区、桥西区具有体检场所</w:t>
            </w:r>
            <w:r>
              <w:rPr>
                <w:rFonts w:hint="eastAsia" w:ascii="宋体" w:hAnsi="宋体"/>
                <w:szCs w:val="21"/>
              </w:rPr>
              <w:t>。</w:t>
            </w:r>
          </w:p>
        </w:tc>
      </w:tr>
      <w:bookmarkEnd w:id="4"/>
    </w:tbl>
    <w:p>
      <w:pPr>
        <w:spacing w:line="360" w:lineRule="exact"/>
        <w:jc w:val="center"/>
        <w:rPr>
          <w:rFonts w:ascii="宋体" w:hAnsi="宋体"/>
          <w:b/>
          <w:sz w:val="24"/>
        </w:rPr>
      </w:pPr>
    </w:p>
    <w:p>
      <w:pPr>
        <w:spacing w:line="400" w:lineRule="exact"/>
        <w:ind w:firstLine="420" w:firstLineChars="200"/>
        <w:rPr>
          <w:rFonts w:ascii="宋体" w:hAnsi="宋体"/>
          <w:b/>
          <w:sz w:val="24"/>
        </w:rPr>
      </w:pPr>
      <w:r>
        <w:rPr>
          <w:rFonts w:ascii="宋体" w:hAnsi="宋体"/>
        </w:rPr>
        <w:br w:type="page"/>
      </w:r>
      <w:r>
        <w:rPr>
          <w:rFonts w:hint="eastAsia" w:ascii="宋体" w:hAnsi="宋体"/>
          <w:b/>
          <w:sz w:val="24"/>
        </w:rPr>
        <w:t>附件</w:t>
      </w:r>
      <w:r>
        <w:rPr>
          <w:rFonts w:ascii="宋体" w:hAnsi="宋体"/>
          <w:b/>
          <w:sz w:val="24"/>
        </w:rPr>
        <w:t>2</w:t>
      </w:r>
      <w:r>
        <w:rPr>
          <w:rFonts w:hint="eastAsia" w:ascii="宋体" w:hAnsi="宋体"/>
          <w:b/>
          <w:sz w:val="24"/>
        </w:rPr>
        <w:t>：投资参股的关联企业情况表</w:t>
      </w:r>
      <w:bookmarkStart w:id="3" w:name="_Hlk50326115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69" w:hRule="atLeast"/>
          <w:jc w:val="center"/>
        </w:trPr>
        <w:tc>
          <w:tcPr>
            <w:tcW w:w="8835" w:type="dxa"/>
          </w:tcPr>
          <w:p>
            <w:pPr>
              <w:adjustRightInd w:val="0"/>
              <w:snapToGrid w:val="0"/>
              <w:spacing w:line="480" w:lineRule="auto"/>
              <w:rPr>
                <w:rFonts w:ascii="宋体" w:hAnsi="宋体"/>
                <w:sz w:val="24"/>
              </w:rPr>
            </w:pPr>
          </w:p>
          <w:p>
            <w:pPr>
              <w:adjustRightInd w:val="0"/>
              <w:snapToGrid w:val="0"/>
              <w:spacing w:line="480" w:lineRule="auto"/>
              <w:ind w:firstLine="480" w:firstLineChars="200"/>
              <w:rPr>
                <w:rFonts w:ascii="宋体" w:hAnsi="宋体"/>
                <w:sz w:val="24"/>
              </w:rPr>
            </w:pPr>
            <w:r>
              <w:rPr>
                <w:rFonts w:hint="eastAsia" w:ascii="宋体" w:hAnsi="宋体"/>
                <w:sz w:val="24"/>
              </w:rPr>
              <w:t>申请购买招标文件的企业应提供其投资参股的关联企业情况，包括以下内容：</w:t>
            </w:r>
          </w:p>
          <w:p>
            <w:pPr>
              <w:adjustRightInd w:val="0"/>
              <w:snapToGrid w:val="0"/>
              <w:spacing w:line="480" w:lineRule="auto"/>
              <w:ind w:firstLine="480" w:firstLineChars="200"/>
              <w:rPr>
                <w:rFonts w:ascii="宋体" w:hAnsi="宋体"/>
                <w:sz w:val="24"/>
              </w:rPr>
            </w:pPr>
            <w:r>
              <w:rPr>
                <w:rFonts w:hint="eastAsia" w:ascii="宋体" w:hAnsi="宋体"/>
                <w:sz w:val="24"/>
              </w:rPr>
              <w:t>(1)单位负责人为同一人的不同单位名单：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ascii="宋体" w:hAnsi="宋体"/>
                <w:sz w:val="24"/>
              </w:rPr>
            </w:pPr>
            <w:r>
              <w:rPr>
                <w:rFonts w:hint="eastAsia" w:ascii="宋体" w:hAnsi="宋体"/>
                <w:sz w:val="24"/>
              </w:rPr>
              <w:t>(2)存在控股、管理关系的不同单位名单：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ascii="宋体" w:hAnsi="宋体"/>
                <w:sz w:val="24"/>
              </w:rPr>
            </w:pPr>
            <w:r>
              <w:rPr>
                <w:rFonts w:hint="eastAsia" w:ascii="宋体" w:hAnsi="宋体"/>
                <w:sz w:val="24"/>
              </w:rPr>
              <w:t>(3)本单位对其他单位存在控股、管理关系的名单：</w:t>
            </w:r>
            <w:r>
              <w:rPr>
                <w:rFonts w:hint="eastAsia" w:ascii="宋体" w:hAnsi="宋体"/>
                <w:sz w:val="24"/>
                <w:u w:val="single"/>
              </w:rPr>
              <w:t xml:space="preserve">       </w:t>
            </w:r>
            <w:r>
              <w:rPr>
                <w:rFonts w:hint="eastAsia" w:ascii="宋体" w:hAnsi="宋体"/>
                <w:sz w:val="24"/>
              </w:rPr>
              <w:t>。</w:t>
            </w:r>
          </w:p>
          <w:p>
            <w:pPr>
              <w:adjustRightInd w:val="0"/>
              <w:snapToGrid w:val="0"/>
              <w:spacing w:line="480" w:lineRule="auto"/>
              <w:ind w:firstLine="480" w:firstLineChars="200"/>
              <w:rPr>
                <w:rFonts w:ascii="宋体" w:hAnsi="宋体"/>
                <w:sz w:val="24"/>
              </w:rPr>
            </w:pPr>
          </w:p>
          <w:p>
            <w:pPr>
              <w:adjustRightInd w:val="0"/>
              <w:snapToGrid w:val="0"/>
              <w:spacing w:line="480" w:lineRule="auto"/>
              <w:ind w:firstLine="480" w:firstLineChars="200"/>
              <w:rPr>
                <w:rFonts w:ascii="宋体" w:hAnsi="宋体"/>
                <w:sz w:val="24"/>
              </w:rPr>
            </w:pPr>
          </w:p>
          <w:p>
            <w:pPr>
              <w:adjustRightInd w:val="0"/>
              <w:snapToGrid w:val="0"/>
              <w:spacing w:line="480" w:lineRule="auto"/>
              <w:ind w:right="480" w:firstLine="5160" w:firstLineChars="2150"/>
              <w:rPr>
                <w:rFonts w:ascii="宋体" w:hAnsi="宋体"/>
                <w:sz w:val="24"/>
              </w:rPr>
            </w:pPr>
            <w:r>
              <w:rPr>
                <w:rFonts w:hint="eastAsia" w:ascii="宋体" w:hAnsi="宋体"/>
                <w:sz w:val="24"/>
              </w:rPr>
              <w:t>（投标人盖章）</w:t>
            </w:r>
          </w:p>
        </w:tc>
      </w:tr>
    </w:tbl>
    <w:p>
      <w:pPr>
        <w:adjustRightInd w:val="0"/>
        <w:snapToGrid w:val="0"/>
        <w:spacing w:line="480" w:lineRule="auto"/>
        <w:ind w:firstLine="142" w:firstLineChars="59"/>
        <w:rPr>
          <w:rFonts w:ascii="宋体" w:hAnsi="宋体"/>
          <w:b/>
          <w:sz w:val="24"/>
        </w:rPr>
      </w:pPr>
    </w:p>
    <w:bookmarkEnd w:id="3"/>
    <w:p>
      <w:pPr>
        <w:spacing w:line="480" w:lineRule="exact"/>
        <w:ind w:firstLine="142"/>
        <w:jc w:val="left"/>
        <w:rPr>
          <w:rFonts w:ascii="宋体" w:hAnsi="宋体"/>
          <w:b/>
        </w:rPr>
      </w:pPr>
      <w:r>
        <w:rPr>
          <w:rFonts w:hint="eastAsia" w:ascii="宋体" w:hAnsi="宋体"/>
          <w:b/>
        </w:rPr>
        <w:t>注：投标人应如实填报此表，否则因其投标影响招标公正性的，其相关投标均无效。</w:t>
      </w:r>
    </w:p>
    <w:p>
      <w:pPr>
        <w:adjustRightInd w:val="0"/>
        <w:spacing w:line="400" w:lineRule="atLeast"/>
        <w:ind w:firstLine="367" w:firstLineChars="175"/>
        <w:rPr>
          <w:rFonts w:ascii="宋体" w:hAnsi="宋体"/>
          <w:b/>
          <w:bCs/>
          <w:sz w:val="24"/>
          <w:szCs w:val="24"/>
        </w:rPr>
      </w:pPr>
      <w:r>
        <w:rPr>
          <w:rFonts w:ascii="宋体" w:hAnsi="宋体"/>
        </w:rPr>
        <w:br w:type="page"/>
      </w:r>
      <w:r>
        <w:rPr>
          <w:rFonts w:hint="eastAsia" w:ascii="宋体" w:hAnsi="宋体"/>
          <w:b/>
          <w:bCs/>
          <w:sz w:val="24"/>
          <w:szCs w:val="24"/>
        </w:rPr>
        <w:t>附件</w:t>
      </w:r>
      <w:r>
        <w:rPr>
          <w:rFonts w:ascii="宋体" w:hAnsi="宋体"/>
          <w:b/>
          <w:bCs/>
          <w:sz w:val="24"/>
          <w:szCs w:val="24"/>
        </w:rPr>
        <w:t>3</w:t>
      </w:r>
      <w:r>
        <w:rPr>
          <w:rFonts w:hint="eastAsia" w:ascii="宋体" w:hAnsi="宋体"/>
          <w:b/>
          <w:bCs/>
          <w:sz w:val="24"/>
          <w:szCs w:val="24"/>
        </w:rPr>
        <w:t>：评标办法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本次评标采用经评审的最低投标价法，评标委员会对满足招标文件实质性要求的投标文件按评标价由低到高顺序推荐1-</w:t>
            </w:r>
            <w:r>
              <w:rPr>
                <w:rFonts w:ascii="宋体" w:hAnsi="宋体"/>
                <w:szCs w:val="21"/>
              </w:rPr>
              <w:t>3</w:t>
            </w:r>
            <w:r>
              <w:rPr>
                <w:rFonts w:hint="eastAsia" w:ascii="宋体" w:hAnsi="宋体"/>
                <w:szCs w:val="21"/>
              </w:rPr>
              <w:t>名中标候选人；评标价相等时，评标委员会按照以下优先顺序推荐中标候选人：</w:t>
            </w:r>
          </w:p>
          <w:p>
            <w:pPr>
              <w:widowControl/>
              <w:numPr>
                <w:ilvl w:val="0"/>
                <w:numId w:val="1"/>
              </w:numPr>
              <w:spacing w:line="360" w:lineRule="exact"/>
              <w:jc w:val="left"/>
              <w:rPr>
                <w:rFonts w:ascii="宋体" w:hAnsi="宋体"/>
                <w:szCs w:val="21"/>
              </w:rPr>
            </w:pPr>
            <w:r>
              <w:rPr>
                <w:rFonts w:hint="eastAsia" w:ascii="宋体" w:hAnsi="宋体"/>
                <w:szCs w:val="21"/>
              </w:rPr>
              <w:t>满足资格审查条件(业绩最低要求)的</w:t>
            </w:r>
            <w:r>
              <w:rPr>
                <w:rFonts w:hint="eastAsia" w:ascii="宋体" w:hAnsi="宋体" w:cs="宋体"/>
                <w:bCs/>
                <w:szCs w:val="21"/>
              </w:rPr>
              <w:t>业绩</w:t>
            </w:r>
            <w:r>
              <w:rPr>
                <w:rFonts w:hint="eastAsia" w:ascii="宋体" w:hAnsi="宋体"/>
                <w:szCs w:val="21"/>
              </w:rPr>
              <w:t>累计合同金额高的优先；</w:t>
            </w:r>
          </w:p>
          <w:p>
            <w:pPr>
              <w:widowControl/>
              <w:numPr>
                <w:ilvl w:val="0"/>
                <w:numId w:val="1"/>
              </w:numPr>
              <w:spacing w:line="360" w:lineRule="exact"/>
              <w:jc w:val="left"/>
              <w:rPr>
                <w:rFonts w:ascii="宋体" w:hAnsi="宋体"/>
                <w:szCs w:val="21"/>
              </w:rPr>
            </w:pPr>
            <w:r>
              <w:rPr>
                <w:rFonts w:hint="eastAsia" w:ascii="宋体" w:hAnsi="宋体" w:cs="宋体"/>
                <w:bCs/>
                <w:szCs w:val="21"/>
              </w:rPr>
              <w:t>业绩</w:t>
            </w:r>
            <w:r>
              <w:rPr>
                <w:rFonts w:hint="eastAsia" w:ascii="宋体" w:hAnsi="宋体"/>
                <w:szCs w:val="21"/>
              </w:rPr>
              <w:t>累计合同金额也相等的以合同个数多的优先</w:t>
            </w:r>
          </w:p>
          <w:p>
            <w:pPr>
              <w:widowControl/>
              <w:numPr>
                <w:ilvl w:val="0"/>
                <w:numId w:val="1"/>
              </w:numPr>
              <w:spacing w:line="360" w:lineRule="exact"/>
              <w:jc w:val="left"/>
              <w:rPr>
                <w:rFonts w:ascii="宋体" w:hAnsi="宋体"/>
                <w:szCs w:val="21"/>
              </w:rPr>
            </w:pPr>
            <w:r>
              <w:rPr>
                <w:rFonts w:hint="eastAsia" w:ascii="宋体" w:hAnsi="宋体"/>
                <w:szCs w:val="21"/>
              </w:rPr>
              <w:t>合同个数也相等的以单个合同金额高的优先</w:t>
            </w:r>
          </w:p>
          <w:p>
            <w:pPr>
              <w:widowControl/>
              <w:numPr>
                <w:ilvl w:val="0"/>
                <w:numId w:val="1"/>
              </w:numPr>
              <w:spacing w:line="360" w:lineRule="exact"/>
              <w:jc w:val="left"/>
              <w:rPr>
                <w:rFonts w:ascii="宋体" w:hAnsi="宋体"/>
                <w:szCs w:val="21"/>
              </w:rPr>
            </w:pPr>
            <w:r>
              <w:rPr>
                <w:rFonts w:hint="eastAsia" w:ascii="宋体" w:hAnsi="宋体"/>
                <w:szCs w:val="21"/>
              </w:rPr>
              <w:t xml:space="preserve">单个合同金额也相等的由评标委员会投票推荐中标候选人。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a．投标函按招标文件规定填报了项目名称、补遗书编号（如有）、服务期限、安全目标；</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widowControl/>
              <w:spacing w:line="360" w:lineRule="exact"/>
              <w:ind w:firstLine="420" w:firstLineChars="200"/>
              <w:jc w:val="left"/>
              <w:rPr>
                <w:rFonts w:ascii="宋体" w:hAnsi="宋体"/>
                <w:szCs w:val="21"/>
              </w:rPr>
            </w:pPr>
            <w:r>
              <w:rPr>
                <w:rFonts w:hint="eastAsia" w:ascii="宋体" w:hAnsi="宋体"/>
                <w:szCs w:val="21"/>
              </w:rPr>
              <w:t>（3）投标人按照招标文件的规定提供了投标保证金：</w:t>
            </w:r>
          </w:p>
          <w:p>
            <w:pPr>
              <w:tabs>
                <w:tab w:val="left" w:pos="3060"/>
              </w:tabs>
              <w:spacing w:line="360" w:lineRule="exact"/>
              <w:ind w:firstLine="525" w:firstLineChars="25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60" w:lineRule="exact"/>
              <w:ind w:firstLine="525" w:firstLineChars="250"/>
              <w:rPr>
                <w:rFonts w:ascii="宋体" w:hAnsi="宋体"/>
                <w:szCs w:val="21"/>
              </w:rPr>
            </w:pPr>
            <w:r>
              <w:rPr>
                <w:rFonts w:hint="eastAsia" w:ascii="宋体" w:hAnsi="宋体"/>
                <w:szCs w:val="21"/>
              </w:rPr>
              <w:t xml:space="preserve">b.若投标保证金采用现金或支票或电汇或转账形式提交，投标人应在递交投标文件截止时间之前，将投标保证金由投标人的基本账户转入招标人指定账户； </w:t>
            </w:r>
          </w:p>
          <w:p>
            <w:pPr>
              <w:tabs>
                <w:tab w:val="left" w:pos="3060"/>
              </w:tabs>
              <w:spacing w:line="360" w:lineRule="exact"/>
              <w:ind w:firstLine="525" w:firstLineChars="250"/>
              <w:rPr>
                <w:rFonts w:ascii="宋体" w:hAnsi="宋体"/>
                <w:szCs w:val="21"/>
              </w:rPr>
            </w:pPr>
            <w:r>
              <w:rPr>
                <w:rFonts w:hint="eastAsia" w:ascii="宋体" w:hAnsi="宋体"/>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）投标文件载明的招标项目完成期限未超过招标文件规定的时限。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）投标人未对本项目进行分包。</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（3）投标报价中的报价未超过招标文件设定的最高投标限价。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（4）投标报价中报价的大写金额能够确定具体数值。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p>
            <w:pPr>
              <w:tabs>
                <w:tab w:val="left" w:pos="3060"/>
              </w:tabs>
              <w:spacing w:line="36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（1）投标人具备有效的营业执照、组织机构代码证（三证合一或五证合一的除外）、医疗机构许可证和基本账户开户许可证或基本存款账户信息。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（2）投标人的资质等级符合招标文件规定。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）投标人的其他要求符合招标文件规定。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.5.1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委员会评标时在“信用中国网站（http://www.creditchina.gov.cn/)”对投标人的信用情况进行查询，若投标人存在被列入“失信被执行人名单、异常经营名录、税收违法黑名单、政府采购严重违法失信行为记录名单”情形的（均不含分公司），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 w:val="20"/>
          <w:szCs w:val="20"/>
        </w:rPr>
      </w:pPr>
      <w:r>
        <w:rPr>
          <w:rFonts w:ascii="宋体" w:hAnsi="宋体"/>
          <w:sz w:val="20"/>
          <w:szCs w:val="2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D47AB"/>
    <w:multiLevelType w:val="multilevel"/>
    <w:tmpl w:val="15AD47A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AC13F4"/>
    <w:rsid w:val="0014584A"/>
    <w:rsid w:val="0085393C"/>
    <w:rsid w:val="008A7F87"/>
    <w:rsid w:val="008D2876"/>
    <w:rsid w:val="00A55AC4"/>
    <w:rsid w:val="00AC13F4"/>
    <w:rsid w:val="00B76068"/>
    <w:rsid w:val="00C934CF"/>
    <w:rsid w:val="7B782D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等线 Light" w:hAnsi="等线 Light" w:eastAsia="等线 Light"/>
      <w:b/>
      <w:kern w:val="0"/>
      <w:sz w:val="32"/>
      <w:szCs w:val="20"/>
      <w:lang w:val="zh-CN" w:eastAsia="zh-CN"/>
    </w:rPr>
  </w:style>
  <w:style w:type="paragraph" w:styleId="3">
    <w:name w:val="heading 3"/>
    <w:basedOn w:val="1"/>
    <w:next w:val="1"/>
    <w:link w:val="14"/>
    <w:qFormat/>
    <w:uiPriority w:val="9"/>
    <w:pPr>
      <w:keepNext/>
      <w:keepLines/>
      <w:spacing w:before="260" w:after="260" w:line="416" w:lineRule="auto"/>
      <w:outlineLvl w:val="2"/>
    </w:pPr>
    <w:rPr>
      <w:b/>
      <w:kern w:val="0"/>
      <w:sz w:val="32"/>
      <w:szCs w:val="20"/>
      <w:lang w:val="zh-CN"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99"/>
    <w:pPr>
      <w:ind w:left="153"/>
      <w:jc w:val="left"/>
    </w:pPr>
    <w:rPr>
      <w:rFonts w:ascii="宋体" w:hAnsi="宋体"/>
      <w:kern w:val="0"/>
      <w:sz w:val="23"/>
      <w:szCs w:val="20"/>
      <w:lang w:val="zh-CN" w:eastAsia="en-US"/>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2 字符"/>
    <w:basedOn w:val="8"/>
    <w:semiHidden/>
    <w:qFormat/>
    <w:uiPriority w:val="9"/>
    <w:rPr>
      <w:rFonts w:asciiTheme="majorHAnsi" w:hAnsiTheme="majorHAnsi" w:eastAsiaTheme="majorEastAsia" w:cstheme="majorBidi"/>
      <w:b/>
      <w:bCs/>
      <w:sz w:val="32"/>
      <w:szCs w:val="32"/>
    </w:rPr>
  </w:style>
  <w:style w:type="character" w:customStyle="1" w:styleId="12">
    <w:name w:val="标题 3 字符"/>
    <w:basedOn w:val="8"/>
    <w:semiHidden/>
    <w:qFormat/>
    <w:uiPriority w:val="9"/>
    <w:rPr>
      <w:rFonts w:ascii="Times New Roman" w:hAnsi="Times New Roman" w:eastAsia="宋体" w:cs="Times New Roman"/>
      <w:b/>
      <w:bCs/>
      <w:sz w:val="32"/>
      <w:szCs w:val="32"/>
    </w:rPr>
  </w:style>
  <w:style w:type="character" w:customStyle="1" w:styleId="13">
    <w:name w:val="标题 2 字符1"/>
    <w:link w:val="2"/>
    <w:qFormat/>
    <w:locked/>
    <w:uiPriority w:val="9"/>
    <w:rPr>
      <w:rFonts w:ascii="等线 Light" w:hAnsi="等线 Light" w:eastAsia="等线 Light" w:cs="Times New Roman"/>
      <w:b/>
      <w:kern w:val="0"/>
      <w:sz w:val="32"/>
      <w:szCs w:val="20"/>
      <w:lang w:val="zh-CN" w:eastAsia="zh-CN"/>
    </w:rPr>
  </w:style>
  <w:style w:type="character" w:customStyle="1" w:styleId="14">
    <w:name w:val="标题 3 字符1"/>
    <w:link w:val="3"/>
    <w:qFormat/>
    <w:locked/>
    <w:uiPriority w:val="9"/>
    <w:rPr>
      <w:rFonts w:ascii="Times New Roman" w:hAnsi="Times New Roman" w:eastAsia="宋体" w:cs="Times New Roman"/>
      <w:b/>
      <w:kern w:val="0"/>
      <w:sz w:val="32"/>
      <w:szCs w:val="20"/>
      <w:lang w:val="zh-CN" w:eastAsia="zh-CN"/>
    </w:rPr>
  </w:style>
  <w:style w:type="character" w:customStyle="1" w:styleId="15">
    <w:name w:val="正文文本 字符"/>
    <w:basedOn w:val="8"/>
    <w:semiHidden/>
    <w:qFormat/>
    <w:uiPriority w:val="99"/>
    <w:rPr>
      <w:rFonts w:ascii="Times New Roman" w:hAnsi="Times New Roman" w:eastAsia="宋体" w:cs="Times New Roman"/>
    </w:rPr>
  </w:style>
  <w:style w:type="character" w:customStyle="1" w:styleId="16">
    <w:name w:val="正文文本 字符1"/>
    <w:link w:val="4"/>
    <w:qFormat/>
    <w:locked/>
    <w:uiPriority w:val="99"/>
    <w:rPr>
      <w:rFonts w:ascii="宋体" w:hAnsi="宋体" w:eastAsia="宋体" w:cs="Times New Roman"/>
      <w:kern w:val="0"/>
      <w:sz w:val="23"/>
      <w:szCs w:val="20"/>
      <w:lang w:val="zh-CN"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3336</Words>
  <Characters>3618</Characters>
  <Lines>27</Lines>
  <Paragraphs>7</Paragraphs>
  <TotalTime>0</TotalTime>
  <ScaleCrop>false</ScaleCrop>
  <LinksUpToDate>false</LinksUpToDate>
  <CharactersWithSpaces>3702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2022-07-27T01:31:00Z</dcterms:created>
  <dc:creator>jbw</dc:creator>
  <cp:lastModifiedBy>韩子程</cp:lastModifiedBy>
  <dcterms:modified xsi:type="dcterms:W3CDTF">2022-07-27T02:45:08Z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140A2CC7ECAD4574B42DEC6FD85AA104</vt:lpwstr>
  </property>
</Properties>
</file>